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3625"/>
        </w:tabs>
        <w:jc w:val="center"/>
        <w:rPr>
          <w:rFonts w:ascii="宋体" w:hAnsi="宋体"/>
          <w:b/>
          <w:bCs w:val="0"/>
          <w:color w:val="000000"/>
          <w:sz w:val="32"/>
          <w:szCs w:val="32"/>
        </w:rPr>
      </w:pPr>
      <w:r>
        <w:rPr>
          <w:rFonts w:hint="eastAsia"/>
          <w:b/>
          <w:bCs w:val="0"/>
          <w:color w:val="000000"/>
          <w:kern w:val="0"/>
          <w:sz w:val="32"/>
          <w:szCs w:val="32"/>
          <w:lang w:val="en-US" w:eastAsia="zh-CN"/>
        </w:rPr>
        <w:t>设备</w:t>
      </w:r>
      <w:r>
        <w:rPr>
          <w:rFonts w:hint="eastAsia"/>
          <w:b/>
          <w:bCs w:val="0"/>
          <w:color w:val="000000"/>
          <w:kern w:val="0"/>
          <w:sz w:val="32"/>
          <w:szCs w:val="32"/>
        </w:rPr>
        <w:t>需求一览表</w:t>
      </w:r>
    </w:p>
    <w:p>
      <w:pPr>
        <w:rPr>
          <w:color w:val="000000"/>
        </w:rPr>
      </w:pPr>
      <w:r>
        <w:rPr>
          <w:rFonts w:hint="eastAsia"/>
          <w:color w:val="000000"/>
        </w:rPr>
        <w:t>说明：</w:t>
      </w:r>
    </w:p>
    <w:p>
      <w:pPr>
        <w:ind w:firstLine="42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本货物需求一览表中的技术参数及其性能（配置）仅起参考作用，不作为特定参数。</w:t>
      </w:r>
    </w:p>
    <w:p>
      <w:pPr>
        <w:pStyle w:val="2"/>
      </w:pPr>
    </w:p>
    <w:p>
      <w:pPr>
        <w:rPr>
          <w:rFonts w:hint="eastAsia" w:hAnsi="宋体"/>
          <w:b/>
          <w:color w:val="000000"/>
          <w:sz w:val="52"/>
          <w:szCs w:val="52"/>
          <w:u w:val="single"/>
        </w:rPr>
      </w:pPr>
    </w:p>
    <w:p>
      <w:pPr>
        <w:pStyle w:val="2"/>
        <w:rPr>
          <w:rFonts w:hint="eastAsia" w:hAnsi="宋体"/>
          <w:b/>
          <w:color w:val="000000"/>
          <w:sz w:val="52"/>
          <w:szCs w:val="52"/>
          <w:u w:val="single"/>
        </w:rPr>
      </w:pPr>
    </w:p>
    <w:p>
      <w:pPr>
        <w:pStyle w:val="2"/>
        <w:rPr>
          <w:rFonts w:hint="eastAsia" w:hAnsi="宋体"/>
          <w:b/>
          <w:color w:val="000000"/>
          <w:sz w:val="52"/>
          <w:szCs w:val="52"/>
          <w:u w:val="single"/>
        </w:rPr>
      </w:pPr>
    </w:p>
    <w:p>
      <w:pPr>
        <w:pStyle w:val="2"/>
        <w:rPr>
          <w:rFonts w:hint="eastAsia" w:hAnsi="宋体"/>
          <w:b/>
          <w:color w:val="000000"/>
          <w:sz w:val="52"/>
          <w:szCs w:val="52"/>
          <w:u w:val="single"/>
        </w:rPr>
      </w:pPr>
    </w:p>
    <w:p>
      <w:pPr>
        <w:pStyle w:val="2"/>
        <w:rPr>
          <w:rFonts w:hint="eastAsia" w:hAnsi="宋体"/>
          <w:b/>
          <w:color w:val="000000"/>
          <w:sz w:val="52"/>
          <w:szCs w:val="52"/>
          <w:u w:val="single"/>
        </w:rPr>
      </w:pPr>
    </w:p>
    <w:p>
      <w:pPr>
        <w:pStyle w:val="2"/>
        <w:rPr>
          <w:rFonts w:hint="eastAsia" w:hAnsi="宋体"/>
          <w:b/>
          <w:color w:val="000000"/>
          <w:sz w:val="52"/>
          <w:szCs w:val="52"/>
          <w:u w:val="single"/>
        </w:rPr>
      </w:pPr>
    </w:p>
    <w:p>
      <w:pPr>
        <w:pStyle w:val="2"/>
        <w:rPr>
          <w:rFonts w:hint="eastAsia" w:hAnsi="宋体"/>
          <w:b/>
          <w:color w:val="000000"/>
          <w:sz w:val="52"/>
          <w:szCs w:val="52"/>
          <w:u w:val="single"/>
        </w:rPr>
      </w:pPr>
    </w:p>
    <w:p>
      <w:pPr>
        <w:pStyle w:val="2"/>
        <w:rPr>
          <w:rFonts w:hint="eastAsia" w:hAnsi="宋体"/>
          <w:b/>
          <w:color w:val="000000"/>
          <w:sz w:val="52"/>
          <w:szCs w:val="52"/>
          <w:u w:val="single"/>
        </w:rPr>
      </w:pPr>
    </w:p>
    <w:p>
      <w:pPr>
        <w:pStyle w:val="2"/>
        <w:rPr>
          <w:rFonts w:hint="eastAsia" w:hAnsi="宋体"/>
          <w:b/>
          <w:color w:val="000000"/>
          <w:sz w:val="52"/>
          <w:szCs w:val="52"/>
          <w:u w:val="single"/>
        </w:rPr>
      </w:pPr>
    </w:p>
    <w:p>
      <w:pPr>
        <w:pStyle w:val="2"/>
        <w:rPr>
          <w:rFonts w:hint="eastAsia" w:hAnsi="宋体"/>
          <w:b/>
          <w:color w:val="000000"/>
          <w:sz w:val="52"/>
          <w:szCs w:val="52"/>
          <w:u w:val="single"/>
        </w:rPr>
      </w:pPr>
    </w:p>
    <w:p>
      <w:pPr>
        <w:pStyle w:val="2"/>
        <w:rPr>
          <w:rFonts w:hint="eastAsia" w:hAnsi="宋体"/>
          <w:b/>
          <w:color w:val="000000"/>
          <w:sz w:val="52"/>
          <w:szCs w:val="52"/>
          <w:u w:val="single"/>
        </w:rPr>
      </w:pPr>
    </w:p>
    <w:p>
      <w:pPr>
        <w:pStyle w:val="2"/>
        <w:rPr>
          <w:rFonts w:hint="eastAsia" w:hAnsi="宋体"/>
          <w:b/>
          <w:color w:val="000000"/>
          <w:sz w:val="52"/>
          <w:szCs w:val="52"/>
          <w:u w:val="single"/>
        </w:rPr>
      </w:pPr>
    </w:p>
    <w:p>
      <w:pPr>
        <w:pStyle w:val="2"/>
        <w:rPr>
          <w:rFonts w:hint="eastAsia" w:hAnsi="宋体"/>
          <w:b/>
          <w:color w:val="000000"/>
          <w:sz w:val="52"/>
          <w:szCs w:val="52"/>
          <w:u w:val="single"/>
        </w:rPr>
      </w:pPr>
    </w:p>
    <w:tbl>
      <w:tblPr>
        <w:tblStyle w:val="10"/>
        <w:tblpPr w:leftFromText="180" w:rightFromText="180" w:vertAnchor="page" w:horzAnchor="page" w:tblpX="861" w:tblpY="1880"/>
        <w:tblOverlap w:val="never"/>
        <w:tblW w:w="104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562"/>
        <w:gridCol w:w="5700"/>
        <w:gridCol w:w="975"/>
        <w:gridCol w:w="745"/>
        <w:gridCol w:w="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</w:rPr>
              <w:t>设备名称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技术参数及性能（配置）要求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</w:rPr>
              <w:t>数量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4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回用水池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潜水排污泵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1.型号：Q=200m3/h,H=18m,N=18.5kw，m=380kg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潜水搅拌器 不锈钢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1.型号：N=2.5KW D368 705rpm 配套起吊设备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电动葫芦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1.型号：CD1 0.5-9D W=0.5t,吊高10m,总重120kg,总功率1.9KW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2.含轨道,采购前应复核潜水泵重量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铸铁闸门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1.型号：1000X1000配套手电两用启闭机,丝杆长3.8m,功率1.1kw,启闭力3t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2.含手电一体动启闭机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铸铁闸门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1.型号：量程0~10m输出4~20mA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4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  <w:t>二、排泥池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铸铁圆闸门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1.型号：φ900配套手电两用启闭机,丝杆长3.8m,功率1.1kw,启闭力3t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潜水搅拌器 不锈钢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1.型号：N=2.5KW D368 705rpm 配套起吊设备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潜水排污泵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1.型号：Q=100m3/h,H=25m,N=15kw，m=410kg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超声波液位计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1.型号：量程0~10m输出4~20mA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401" w:type="dxa"/>
            <w:gridSpan w:val="6"/>
            <w:noWrap w:val="0"/>
            <w:vAlign w:val="center"/>
          </w:tcPr>
          <w:p>
            <w:pPr>
              <w:tabs>
                <w:tab w:val="left" w:pos="2912"/>
              </w:tabs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三、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CN"/>
              </w:rPr>
              <w:t>一期-管式静态混合器井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管式静态混合器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1.型号：DN1200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电动蝶阀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1.型号：DN1200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伸缩器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1.规格：DN1200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4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四、加药间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渣浆泵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1.型号：Q=4.2m3/h,H=6m,P=7.5kw，含调频控制器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电磁流量计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1.型号：0-50000L/h  de63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隔膜计量泵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（Q=1093L/h,PN=1.0MPa，P=2.2Kw），过滤器（与计量泵配套使用），脉冲阻尼器（与计量泵配套使用）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过滤器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（与计量泵配套使用），脉冲阻尼器（与计量泵配套使用）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4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五、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污泥浓缩脱水间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PAM溶解投加装置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投药量10-30kg/h N=4.5KW ,10000L/h,制备浓度1-3.0‰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配套液位控制、溢流报警装置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PAM加药泵,螺杆泵(调理池)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Q=5m3/h,P=0.2MPa,N=2.2kw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PAM加药泵,螺杆泵(浓缩机)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Q=2m3/h,P=0.2MPa,N=1.1kw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PAM电磁流量计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DN40,PN=1.0MPa,与PAM加药泵配套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PAC储罐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V=25m3,N=4kw,增强PE材质,配套液位控制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PAC加药，电动隔膜泵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Q=6.5m³/h，P=O.4Mpa，N=2.2kw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PAC卸料，电动隔膜泵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Q=20m³/h，P=O.4Mpa，N=3kw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PAC电磁流量计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DN40,PN=1.0MPa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调理池搅拌机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Φ3000,P=15kw ,双层浆叶,转速约45r/min,变频调速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铸铁闸门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1.型号：500X500, 配套手电两用启闭机,0.55Kw,启闭力1T,拉杆长度4m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2.含配一体式电动执行器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超声波液位计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测量调理池液位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浓缩机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处理量:550~650kgDS/h,总功率:N=14.2kw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进泥含水率: 99.3%~99.5% 出泥含水率:97%~95%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401" w:type="dxa"/>
            <w:gridSpan w:val="6"/>
            <w:noWrap w:val="0"/>
            <w:vAlign w:val="center"/>
          </w:tcPr>
          <w:p>
            <w:pPr>
              <w:tabs>
                <w:tab w:val="left" w:pos="4412"/>
              </w:tabs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六、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B4 污泥脱水系统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带式压滤机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过滤面积600m2,P=19kw ,2.4t~2.6t干污泥量/批次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压榨压力2.0Mpa,含自动翻板、接水槽、清洗装置、液压站等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低压进料泵,螺杆泵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Q=60m3/h,P=0.6MPa,N=18.5kw 变频调速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污泥电磁流量计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DN150,PN=2.5MPa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液压储泥斗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钢制  压滤机配套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PE压榨水箱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V=25m3 配套液位控制、自动补水装置、溢流报警装置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压榨水泵,离心泵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Q=12m3/h,P=1.60Mpa,N=11kw,变频调速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PE清洗储水箱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V=20m3 配套液位控制、自动补水装置、溢流报警装置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清洗水泵,串联多级离心泵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Q=20m3/h,P=4.0Mpa,N=18.5+18.5kw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过滤器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DN50,PN=6.4MPa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滤网不锈钢304,过滤精度0.8mm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空压机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Q=4.6m3/min,P=1.0MPa,N=30kw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冷干机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Q=3.8m3/min,P=0.6~1.0MPa,N=1.0kw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储气罐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V=10m3,P=1.0MPa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储气罐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V=2m3,P=1.0MPa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LD-A电动单梁悬挂起重机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额定起重量5t,跨度=14.2m,起吊高度13.6m,轨道长度2x37.15m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含配套CD5-18D电动葫芦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CD1型电动葫芦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额定起重量3t,轨道长度39.18m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CD1型电动葫芦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额定起重量3t,轨道长度19.10m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4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七、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二期-V型滤池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电动葫芦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规格型号：MD 1-9D型，T=1t  起吊高度9米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电动葫芦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规格型号：MD 2-6D型，T=2t  起吊高度6米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采样泵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规格：Q=1.5m3/h,H=20m,N=370W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4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八、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二期-二泵房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单级双吸离心泵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1.型号：Q=3100m3/h,H=51m,n=970r/min，NPSHr=6.2m,泵重4300kg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2.配套电机，型号：Y450-6,P=560Kw,U=10KV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3.顺时针转向，重量要求小于5吨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卧式离心泵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Q=1750m³/h,H=43m，n=1480r/min，Hsv=5.2m变频，厂家配套控制柜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配套电机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N=315kW, U=10KV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4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九、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二期管式静态混合器+配水井+絮凝沉淀池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桁架式虹吸排泥机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池壁净宽14.8米,驱动功率2x0.75,虹吸功率1.5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2.设备配备轨道及其他安装部件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静态混合器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DN1200</w:t>
            </w:r>
            <w:r>
              <w:rPr>
                <w:rStyle w:val="18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钢制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4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十、辅助-二氧化氯间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二氧化氯发生器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规格：XAR-5000 二氧化氯产量5Kg/h,P=1.2Kw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二氧化氯发生器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规格：XAR-7000 二氧化氯产量7Kg/h,P=1.2Kw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控制柜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含PLC、触摸屏、电气元件,带远程通讯二氧化氯发生器厂家配套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盐酸储罐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规格：2300,V=8mm3二氧化氯发生器厂家配套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氯酸钠储罐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2300,V=8mm3二氧化氯发生器厂家配套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盐酸计量泵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规格：Q=24L/h,H=0.15MPa N=24W二氧化氯发生器厂家配套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氯酸钠计量泵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规格：Q=24L/h,H=0.15MPa N=24W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二氧化氯发生器厂家配套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水射器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规格：32,有机玻璃二氧化氯发生器厂家配套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流量计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规格：0-20m3/h  50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二氧化氯发生器厂家配套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氯酸钠储罐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规格：V=5立方米,配套搅拌器,N=2.2kw，含转液泵、上料机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二氧化氯发生器厂家配套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卸酸泵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规格：65FZS-25,Q=26m3/h，H=25m，N=4KW二氧化氯发生器厂家配套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电动给水泵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规格：Q=60m3/h,H=50m N=15kW，一备一用（用于投价二氧化氯和化料）二氧化氯发生器厂家配套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酸雾吸收器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规格：SWXSQJ-500二氧化氯发生器厂家配套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中间水罐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规格：1830,V=5m3二氧化氯发生器厂家配套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二氧化氯泄漏检测仪及报警设施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二氧化氯发生器厂家配套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快速冲洗龙头(配套紧急冲淋洗眼器)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二氧化氯发生器厂家配套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轴流风机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规格：T35-11-4.0-25°型，N=0.12kW，Q=3920m3173/h,全压P=88Pa二氧化氯发生器厂家配套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手提磷酸铵盐干粉灭火器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规格：MF/ABC5   5kgx2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防毒面具及防护服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二氧化氯发生器厂家配套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抢救设置及工具箱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二氧化氯发生器厂家配套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防爆除湿机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规格型号：1800m3/h,380v 2.8kw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高纯型二氧化氯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发生器主机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产高纯二氧化氯3000/g/h,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绿安消储罐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∅2500，V=10m³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活化剂储罐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∅2500，V=10m³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A电磁计量泵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EHN-B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B电磁计量泵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EHN-B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背压阀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标配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电接点压力表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YX-100，0-1.0MPa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Y型过滤器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Y型过滤器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残液自动分离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装置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标配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安全在线监测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标配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高强度水射器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Ф50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单向阀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Ф50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自动控制系统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Ⅲ型控制（集成智能型）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管道、阀门及附件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DN50,PVC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在线二氧化氯传感器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SZ-283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信号分配箱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一分二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4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十一、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石灰装置-工艺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石灰料仓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含制作、安装，有效容积25m3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仓顶除尘器 1台（安装于仓顶）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显示仪表 1台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控制柜 1台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液位计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用于料仓高中低三个部位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电动振打器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成品，含破供系统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电动刀闸阀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规格：DN200，阀体铸铁,阀板304,衬胶软密封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星型给料器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规格：DN200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机壳:铸铁+防腐；叶片：SS304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倾斜螺旋输送机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1.输送量≥350kg/h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2.壳体、盖板、支架:碳钢;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3.螺旋体:碳钢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溶解罐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规格：Φ1.8x2.7m，有效容积6m3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碳钢+防腐,预留溢流口、放空口、进水口、进料口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含搅拌器 桨片直径1000称重模块  1套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加药罐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规格：Φ1.8x2.7m，有效容积6m3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碳钢+防腐,预留溢流口、放空口、进水口、进料口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含搅拌器 桨片直径1000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加药螺杆泵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规格：Q=5.7m3/h，P=0.3MPa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401" w:type="dxa"/>
            <w:gridSpan w:val="6"/>
            <w:noWrap w:val="0"/>
            <w:vAlign w:val="center"/>
          </w:tcPr>
          <w:p>
            <w:pPr>
              <w:tabs>
                <w:tab w:val="left" w:pos="4449"/>
              </w:tabs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十二、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三厂总平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二氧化氯发生器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规格：2.5kg/h N=1.2kw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401" w:type="dxa"/>
            <w:gridSpan w:val="6"/>
            <w:noWrap w:val="0"/>
            <w:vAlign w:val="center"/>
          </w:tcPr>
          <w:p>
            <w:pPr>
              <w:tabs>
                <w:tab w:val="left" w:pos="4587"/>
              </w:tabs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十三、4站自控_设备材料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监控摄像设备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1.名称:室内高清网络枪式摄像机(带红外)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2.类别:1080p，200万像素 IP54含编码器，托臂，箱体等附件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3.视频监控接线箱 1个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视频交换机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规格:2光口、24电口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电源分配器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8路DC12V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4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十四、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5站自控_设备材料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监控摄像设备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1.名称:室内高清网络枪式摄像机(带红外)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2.类别:1080p，200万像素 IP54含编码器，托臂，箱体等附件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3.视频监控接线箱 1个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监控摄像设备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1.名称:室内高清网络枪式摄像机(带红外)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2.类别:1080p，200万像素 IP54含编码器，托臂，箱体等附件，防爆型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视频交换机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规格:2光口、24电口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电源分配器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8路DC12V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401" w:type="dxa"/>
            <w:gridSpan w:val="6"/>
            <w:noWrap w:val="0"/>
            <w:vAlign w:val="center"/>
          </w:tcPr>
          <w:p>
            <w:pPr>
              <w:tabs>
                <w:tab w:val="left" w:pos="4037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十五、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6站自控_设备材料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LCU6站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户内型：IP42 DI:36 DO:12 AI：2 AO:0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包括CPU模块,电源模块,触摸屏，环网型交换机(2光口、4电口)，UPS：0.5KVA 0.5h 双变换在线式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"其余附件及软件供应商根据点数及配电系统配置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光电转换模块  4台"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仪表箱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户外型，IP55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液位计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调节池液位，污水 0~5m，包括仪表箱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监控摄像设备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1.名称:室外高清网络枪式摄像机(带红外)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2.类别:1080p，200万像素 IP54含编码器，托臂，避雷器，箱体等附件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交换机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1.名称:视频交换机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2.规格:2光口、24电口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4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十六、PLC1站自控_仪表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仪表箱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户外型，IP55，距地1.1米立杆安装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液位计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污水 0~5m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超声波液位差计,传感器量程0~5m，双传感器,防护等级IP67,变送器IP65，输出4~20mA,220VAC供电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流量计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DN1400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进水流量，污水 0~200m3/H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TLD300A1FSACP10，分体式电磁流量计,量程0~200m3/H,DN300,法兰安装,IP67，输出4~20mA,220VAC供电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PH计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进水PH，污水 0~14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变送器: TPH20AC ,0~14pH输出4~20mA,220VAC电源,IP65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余氮计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进水氨氮，污水 0.01~5mg/L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TEM-NH3N9000,氨氮分析仪，带预处理系统,RS485接口输出4~20mA,220VAC供电.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压力表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Y-100,P=0~0.6Mpa PN16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浊度计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0~100NTU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4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十七、工艺给水管线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低压不锈钢管件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1.材质:电磁流量计 不锈钢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2.规格:DN1200 PN=1.6MPa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低压铸铁管件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材质:管道伸缩器 铸铁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规格:DN1000 PN=1.6MPa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连接形式:法兰连接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低压法兰阀门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材质:手动蝶阀 铸铁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规格:DN1200 PN=1.6MPa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连接形式:法兰连接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低压铸铁管件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材质:管道伸缩器 铸铁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规格:DN1200 PN=1.6MPa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连接形式:法兰连接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低压法兰阀门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材质:电动蝶阀 铸铁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规格:DN900 PN=1.6MPa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接形式:法兰连接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低压法兰阀门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材质:手动蝶阀 铸铁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规格:DN700 PN=1.6MPa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连接形式:法兰连接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低压铸铁管件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材质:管道伸缩器 铸铁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规格:DN700 PN=1.6MPa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连接形式:法兰连接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4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十八、PLC1站自控-设备材料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LCU1站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户内型：IP42 DI:36 DO:12 AI：2 AO:0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包括CPU模块,电源模块,触摸屏，环网型交换机(2光口、4电口)，UPS：0.5KVA 0.5h 双变换在线式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其余附件及软件供应商根据点数及配电系统配置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高压水泵变频控制柜 4台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监控摄像设备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名称:室内高清网络枪式摄像机(带红外)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类别:1080p，200万像素 IP54含编码器，托臂，避雷器，箱体等附件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控制箱</w:t>
            </w:r>
          </w:p>
        </w:tc>
        <w:tc>
          <w:tcPr>
            <w:tcW w:w="57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电动阀控制箱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名称:视频交换机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规格:2光口、24电口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交换机</w:t>
            </w:r>
          </w:p>
        </w:tc>
        <w:tc>
          <w:tcPr>
            <w:tcW w:w="57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4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十九、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PLC2站自控_仪表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仪表箱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户外型，IP55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液位计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污水 0~5m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超声波液位差计,传感器量程0~5m，双传感器,防护等级IP67,变送器IP65，输出4~20mA,220VAC供电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压力表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Y-100,P=0~0.6Mpa PN16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压差仪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Y-100,P=0~0.6Mpa PN16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浊度计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0~100NTU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4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二十、PLC2站自控-设备材料1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LUC2站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户内型：IP42 DI:51 DO:25 AI：18 AO:0  Modbus2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包括CPU模块,电源模块,触摸屏，环网型交换机(2光口、4电口)，UPS：0.5KVA 0.5h 双变换在线式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其余附件及软件供应商根据点数及配电系统配置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ECU站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户内型：IP42 DI:24 DO:13 AI：4 AO:1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包括CPU模块,电源模块,触摸屏，环网型交换机(2光口、4电口)，UPS：0.5KVA 0.5h 双变换在线式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其余附件及软件供应商根据点数及配电系统配置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控制箱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电动阀控制箱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电气控制柜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高压水泵变频控制柜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T接线箱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电源分配及视频接线箱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监控摄像设备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名称:室内高清网络枪式摄像机(带红外)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类别:1080p，200万像素 IP54含编码器，托臂，避雷器，箱体等附件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交换机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名称:视频交换机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规格:2光口、24电口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65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1"/>
                <w:szCs w:val="21"/>
                <w:lang w:val="en-US" w:eastAsia="zh-CN"/>
              </w:rPr>
              <w:t>二十一、PLC3站自控_仪表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仪表箱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户外型，IP55，距地1.1米立杆安装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液位计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污水 0~5m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超声波液位差计,传感器量程0~5m，双传感器,防护等级IP67,变送器IP65，输出4~20mA,220VAC供电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温度计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-10~60℃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电导式气体分析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电导率0~1000μS/cm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PH计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进水PH，污水 -2.0~14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变送器: TPH20AC ,0~14pH输出4~20mA,220VAC电源,IP65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氨氮计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污水 0.1~20mg/L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TEM-NH3N9000,氨氮计，带预处理系统,RS485接口输出4~20mA,220VAC供电.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在线COD分析仪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进水COD，污水 10~5000mg/L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TEM-COD9000,国标铬法COD分析仪，带预处理系统,RS485接口，输出4~20mA,220VAC供电.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浊度计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0~999NTU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4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二十二、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PLC3站自控-设备材料1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LUC3站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户内型：IP42 DI:0 DO:0 AI:14 AO:0  Modbusx4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包括CPU模块,电源模块,触摸屏，环网型交换机(2光口、4电口)，UPS：1KVA 0.5h 双变换在线式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其余附件及软件供应商根据点数及配电系统配置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RCU1.2站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户内型：IP42 DI:84 DO:28 AI:1 AO:0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包括CPU模块,电源模块,触摸屏，环网型交换机(4电口)，UPS：0.5KVA 0.5h 双变换在线式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其余附件及软件供应商根据点数及配电系统配置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电源分配及视频接线箱 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RCU3、4站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户内型：IP42 DI:156 DO:52 AI:1 AO:0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包括CPU模块,电源模块,触摸屏，环网型交换机(4电口)，UPS：0.5KVA 0.5h 双变换在线式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其余附件及软件供应商根据点数及配电系统配置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控制箱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排泥阀控制柜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控制箱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石灰投加控制柜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控制箱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PAC投加控制柜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控制箱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加氯间控制柜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监控摄像设备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名称:室内高清网络枪式摄像机(带红外)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类别:1080p，200万像素 IP54含编码器，托臂，箱体等附件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监控摄像设备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名称:室内高清网络枪式摄像机(带红外)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类别:1080p，200万像素 IP65含编码器，托臂，箱体等附件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交换机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名称:视频交换机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规格:2光口、24电口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4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二十三、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总平自控_仪表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超声波液位差计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液位差，污水 0~6m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超声波液位差计,传感器量程0~5m，双传感器,防护等级IP67,变送器IP65，输出4~20mA,220VAC供电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超声波液位计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液位，污水 0~5m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TULI20B 一体式变送器，防护等级IP67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输出4~20mA,二线制,支架安装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电磁流量计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进水流量，污水 0~200m3/H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TLD300A1FSACP10，分体式电磁流量计,量程0~200m3/H,DN300,法兰安装,IP67，输出4~20mA,220VAC供电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DN900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电磁流量计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进水流量，污水 0~200m3/H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TLD300A1FSACP10，分体式电磁流量计,量程0~200m3/H,DN300,法兰安装,IP67，输出4~20mA,220VAC供电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电磁流量计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进水流量，污水 0~200m3/H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TLD300A1FSACP10，分体式电磁流量计,量程0~200m3/H,DN300,法兰安装,IP67，输出4~20mA,220VAC供电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厂区自用水管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电磁流量计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进水流量，污水 0~200m3/H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TLD300A1FSACP10，分体式电磁流量计,量程0~200m3/H,DN300,法兰安装,IP67，输出4~20mA,220VAC供电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厂区自用水管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电磁流量计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进水流量，污水 0~200m3/H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TLD300A1FSACP10，分体式电磁流量计,量程0~200m3/H,DN300,法兰安装,IP67，输出4~20mA,220VAC供电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厂区鱼池进出水管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余氯分析仪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污水 0~10ppm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余氯分析仪，带预处理系统,RS485接口输出4~20mA,220VAC供电.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浊度变送器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0~100NTU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压力表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0.1~1.0Mpa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真空表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-0.1~1.0Mpa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压力变送器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鼓风压力，空气 0~50KPa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TPS0803-1  智能压力变送器，0~50KPa,输出4~20mA,二线制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温度计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-10~60℃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电导式气体分析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电导率0~1000μS/cm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PH计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进水PH，污水 -2.0~14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变送器: TPH20AC ,0~14pH输出4~20mA,220VAC电源,IP65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氨氮分析仪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污水 0.1~20mg/L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TEM-NH3N9000,氨氮分析仪，带预处理系统,RS485接口输出4~20mA,220VAC供电.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在线COD分析仪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进水COD，污水 10~5000mg/L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TEM-COD9000,国标铬法COD分析仪，带预处理系统,RS485接口，输出4~20mA,220VAC供电.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浊度计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0~999NTU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在线COD分析仪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进水COD，污水 0~300mg/L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TEM-COD9000,国标铬法COD分析仪，带预处理系统,RS485接口，输出4~20mA,220VAC供电.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在线氨氮分析仪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进水氨氮，污水 0~50mg/L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TEM-NH3N9000,氨氮分析仪，带预处理系统,RS485接口输出4~20mA,220VAC供电.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总磷在线分析仪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进水TP，污水 0~8mg/L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TEM-TP9000,在线总磷分析仪，带预处理系统,RS485接口，双路输出4~20mA,220VAC供电.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总氮在线分析仪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进水TN，污水 0~50mg/L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TEM-TN9000,在线总氮分析仪，带预处理系统,RS485接口，双路输出4~20mA,220VAC供电.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细格栅超声波液位差计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细格栅液位差，污水 0~1m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分体式超声波液位变送器,双传感器，传感器防护等级IP67,变送器IP65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输出4~20mA,220VAC供电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压力变送器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鼓风压力，空气 0~50KPa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TPS0803-1  智能压力变送器，0~50KPa,输出4~20mA,二线制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PH变送器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水解酸化池PH，污水 0~14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变送器: TPH20AC ,0~14pH输出4~20mA,220VAC电源,IP65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PH电极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传感器: TPH-S0C10 PH电极浸入式安装,线缆长度10m,IP68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ORP变送器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水解酸化池氧化还原电位,-2000~2000mV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变送器: TORP20AC ,输出4~20mA,220VAC电源,IP65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ORP电极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传感器: TORP-S0C10 ORP电极浸入式安装,线缆长度10m,IP68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SS变送器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MBBR池污泥浓度,出水 0~4000mg/L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变送器:TSS10AC, 0~8000mg/L,输出4~20mA,220VAC电源,IP65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SS传感器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传感器:TSS-S0C10,浸入式安装,线缆长度10m,IP68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DO变送器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MBBR池好氧区浊度,0~20mg/L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变送器: LDO10AC ,荧光法溶解氧变送器,输出4~20mA,220VAC电源,IP65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DO传感器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传感器:LDO-S0C10 DO传感器,,浸入式安装,线缆长度10m,IP68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超声波液位差计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液位,污水 0~5m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TULI20B 一体式变送器,防护等级IP67。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超声波液位差计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液位,污水 0~5m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TULI20B 一体式变送器，防护等级IP67，输出4~20mA,二线制,支架安装.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超声波明渠流量计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出水流量，0~200m3/H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WL-1A1 超声波明渠流量计，变送器防护等级:IP66，输出:4~20mA 供电电压:AC220V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PH变送器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出水PH，出水 0~14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变送器: TPH20AC ,0~14pH输出4~20mA,220VAC电源,IP65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PH电极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传感器: TPH-S0C10 PH电极浸入式安装,线缆长度10m,IP68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安全监测装置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出水浊度，出水 0~50mg/L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变送器:TSS10AC, 0~50mg/L，输出4~20mA,220VAC电源,IP65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SS传感器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传感器:TSS-S0C10,浸入式安装,线缆长度10m,IP68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在线COD分析仪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出水COD，出水 0~100mg/L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TEM-COD9000,国标铬法COD分析仪，带预处理系统,RS485接口，输出4~20mA,220VAC供电.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在线氨氮分析仪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出水氨氮，出水 0~50mg/L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TEM-NH3N9000,氨氮分析仪，带预处理系统,RS485接口输出4~20mA,220VAC供电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总磷在线分析仪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出水TP，出水 0~2mg/L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TEM-TP9000,在线总磷分析仪，带预处理系统,RS485接口，双路输出4~20mA,220VAC供电.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总氮在线分析仪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出水TN，出水 0~50mg/L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TEM-TN9000,在线总氮分析仪，带预处理系统,RS485接口，双路输出4~20mA,220VAC供电.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电磁流量计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脱水污泥流量/回流污泥流量，污水 0~15m3/H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型号:分体式电磁流量计,量程0~15m3/H,DN150/DN200,HC电极,PFA内衬,法兰安装,输出4~20mA,IP67,220VAC供电.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浮球液位开关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PAM储药桶液位/PAC储药桶液位/碳源药桶液位  0~1.2m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电缆式浮球开关，高度1.2m，高低位无源触点信号输出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超声波泥水界面仪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污泥回流泵池泥位/絮凝沉淀池泥位，污水/污泥 0~5m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分体式,输出4~20mA,220VAC，浸入式安装,线缆长度10m,防护等级:传感器IP68,转换器IP65.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4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二十四、三水厂自控_仪表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仪表箱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户外型，IP42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液位计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污水 0~5m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超声波液位差计,传感器量程0~5m，双传感器,防护等级IP67,变送器IP65，输出4~20mA,220VAC供电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浊度计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0~100NTU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4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二十五、三水厂自控-设备材料1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PLC3站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户内型：IP42 DI:72 DO:36 AI:16 AO:0  Modbusx4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包括CPU模块,电源模块,触摸屏，环网型交换机(2光口、4电口)，UPS：1KVA 0.5h 双变换在线式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其余附件及软件供应商根据点数及配电系统配置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监控摄像设备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名称:室内高清网络枪式摄像机(带红外)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类别:1080p，200万像素 IP54含编码器，托臂，箱体等附件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4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二十六、V型滤池反冲洗泵房电气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名称:AC2g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柜体规格：600*800*2200mm；1面柜体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内含塑壳断路器（400A/3P；整定值：315A；运行分断能力：65kA；脱扣器形式：电子式）1个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计量电流互感器(0.2S级 10VA) 400/5  1个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智能电力测量仪表 1个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变频器：ATV630 1台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含箱内元件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名称:AC3g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柜体规格：600*800*2200mm；1面柜体；抽屉高度：2000mm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内含塑壳断路器（400A/3P；整定值：315A；运行分断能力：65kA；脱扣器形式：电子式）1个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4.计量电流互感器(0.2S级 10VA) 400/5  1个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5.智能电力测量仪表 1个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6.变频器：ATV630 1台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7.含箱内元件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名称:AC4g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柜体规格：600*800*2200mm；2面柜体；抽屉1高度：1200mm；抽屉2高度：800mm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内含塑壳断路器（160A/3P；整定值：125A；运行分断能力：65kA；脱扣器形式：电子式）2个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4.计量电流互感器(0.2S级 10VA) 200/5  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5.智能电力测量仪表 1个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6.变频器：ATV630U 1台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7.含箱内元件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名称:AC5g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柜体规格：600*800*2200mm；1面柜体；抽屉高度：400mm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内含塑壳断路器（100A/3P；整定值：32A；运行分断能力：65kA；脱扣器形式：电子式）1个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4.变频器：ATV630U 1台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铜母线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1.规格：TMY-3(50x5)+(40x4)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4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二十七、二泵房电气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高压成套配电柜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1.名称:15AH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2.柜体规格：800*1500*2365mm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3.开关柜型号：KYN28A-12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4.HNP-3636电动机保护检测装置 1个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 w:bidi="ar"/>
              </w:rPr>
              <w:t>含箱内元件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高压成套配电柜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1.名称:16AH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2.柜体规格：800*1500*2365mm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3.开关柜型号：KYN28A-12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4.含箱内元件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高压成套配电柜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1.名称:17AH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2.柜体规格：800*1500*2365mm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3.开关柜型号：KYN28A-12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4.HNP-3636电动机保护检测装置 1个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 w:bidi="ar"/>
              </w:rPr>
              <w:t>含箱内元件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高压成套配电柜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1.名称:18AH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2.柜体规格：800*1500*2365mm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3.开关柜型号：KYN28A-12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 w:bidi="ar"/>
              </w:rPr>
              <w:t>含箱内元件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高压变频器控制柜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型号：非标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含箱内元件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铜母线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1.规格：TMY-40x4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4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二十八、二氧化氯间电气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1.名称:11AP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2.规格：厂家配套提供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3.安装方式:落地安装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4.含箱内元件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4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二十九、回用水池电气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低压出线柜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1.名称:10AP1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2.塑壳断路器（250/4P；整定值：160/0.3A；运行分断能力：36kA；脱扣器形式：电子式）1个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3.塑壳断路器（100/3P；整定值：50A；运行分断能力：36kA）10个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4.含箱内元件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低压出线柜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1.名称:10AP2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2.塑壳断路器（100/3P；整定值：10A；运行分断能力：36kA）2个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3.微型断路器（3P；整定值：D10A；运行分断能力：6kA）6个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4.微型断路器（1P；整定值：C16A；运行分断能力：6kA）1个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 w:bidi="ar"/>
              </w:rPr>
              <w:t>含箱内元件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铜母线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1.规格：TMY-40x4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4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三十、加药间电气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石灰投加控制柜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1.名称:06AP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2.规格：厂家配套提供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 w:bidi="ar"/>
              </w:rPr>
              <w:t>含箱内元件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石灰投加控制柜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1.名称:05AP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2.规格：厂家配套提供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3.安装方式:落地安装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 w:bidi="ar"/>
              </w:rPr>
              <w:t>含箱内元件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4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三十一、污泥脱水机房及配电间电气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高压配电柜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1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名称:1AH1；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2.开柜柜型号：HXGN/VB-12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3.开关柜规格：750*1000*1900mm；设备容量630kVA；计算电流：36.4A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4.含箱内元件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高压配电柜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名称:1AH2；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2.开柜柜型号：HXGN/VB-12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3.开关柜规格：750*1000*1900m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4.含箱内元件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高压配电柜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3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名称:2AH2；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2.开柜柜型号：HXGN/VB-12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3.规格：800*1000*1900mm；设备容量630kVA；计算电流：36.4A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4.含箱内元件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高压配电柜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4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名称:2AH1；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2.开柜柜型号：HXGN/VB-12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3.开关柜规格：800*1000*1900mm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4.含箱内元件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低压补偿柜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1.名称:2AA4；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2.开关柜型号：MNS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3.柜体规格：800*1000*2200mm；抽屉高度：72E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4.塑壳断路器（400M/3P；额定值：315A；运行分断能力65kA；脱扣器形式：电子式）1个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5.熔断器 1个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6.可控硅调节器 1个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7.电抗器 1个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8.电容器 1个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9.浪涌保护器 1个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10.智能电力测量仪表 1个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11.测量电流互感器（0.5级 5VA 400/5) 3个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12.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 w:bidi="ar"/>
              </w:rPr>
              <w:t>含箱内元件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低压进线柜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1.名称:2AA2；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2.开关柜型号：MNS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3.柜体规格：800*1000*2200mm；抽屉高度：72E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4.智能断路器（1600/3 电动；额定值：1000A；运行分断能力：65kA；脱扣器形式：电子式） 1个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5.计量电流互感器(0.2S级 10VA 1500/5) 3个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6.测量电流互感器(0.5级 5VA 1500/5) 4个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7.智能电力测量仪表 1个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8.低压柜分合闸状态显示器 1个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9.浪涌保护器（I级SPD） 1个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10.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 w:bidi="ar"/>
              </w:rPr>
              <w:t>含箱内元件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低压联络柜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1.名称:2AA0；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2.开关柜型号：MNS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3.柜体规格：800*1000*2200mm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4.智能断路器（1600/3 电动；额定值：1000A；运行分断能力：65kA；脱扣器形式：电子式） 1个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5.计量电流互感器(0.2S级 10VA 1500/5) 3个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 w:bidi="ar"/>
              </w:rPr>
              <w:t>含箱内元件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低压进线柜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1.名称:2AA1；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2.开关柜型号：MNS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3.柜体规格：800*1000*2200mm；抽屉高度：72E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4.智能断路器（1600/3 电动；额定值：1000A；运行分断能力：65kA；脱扣器形式：电子式） 1个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5.计量电流互感器(0.2S级 10VA 1500/5) 3个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6.测量电流互感器(0.5级 5VA 1500/5) 4个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7.智能电力测量仪表 1个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8.低压柜分合闸状态显示器 1个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9.浪涌保护器（I级SPD） 1个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10.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 w:bidi="ar"/>
              </w:rPr>
              <w:t>含箱内元件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低压补偿柜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1.名称:2AA3；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2.开关柜型号：MNS"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3.柜体规格：800*1000*2200mm；抽屉高度：72E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4.智能断路器（1600/3 电动；额定值：1000A；运行分断能力：65kA；脱扣器形式：电子式） 1个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5.计量电流互感器(0.2S级 10VA 1500/5) 3个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6.测量电流互感器(0.5级 5VA 1500/5) 4个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7.智能电力测量仪表 1个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8.低压柜分合闸状态显示器 1个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9.浪涌保护器（I级SPD） 1个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10.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 w:bidi="ar"/>
              </w:rPr>
              <w:t>含箱内元件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低压出线柜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1.名称:2AA5；开关柜型号：MNS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2.柜体规格：800*1000*2200mm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4.智能断路器（250/3P 电动；额定值：125A；运行分断能力：65kA；脱扣器形式：电子式） 2个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5.智能断路器（250/3P 电动；额定值：200A；运行分断能力：65kA；脱扣器形式：电子式） 2个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6.智能断路器（100A/3P；额定值：40A；运行分断能力：65kA；脱扣器形式：电子式） 4个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7.智能断路器（100A/3P；额定值：50A；运行分断能力：65kA；脱扣器形式：电子式） 3个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8.智能断路器（100A/3P；额定值：16A；运行分断能力：65kA；脱扣器形式：电子式） 2个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9.智能断路器（100A/3P 电动；额定值：125A；运行分断能力：65kA；脱扣器形式：电子式） 2个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10.智能电力测量表 13个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11..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 w:bidi="ar"/>
              </w:rPr>
              <w:t>含箱内元件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1.名称:AA7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2.智能断路器（1000/3 电动；整定值：800A；运行分断能力：65kA；脱扣器形式：电子式）  1个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 w:bidi="ar"/>
              </w:rPr>
              <w:t>含箱内元件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低压开关柜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1.名称:02AP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2.型号：非标；覆铝锌板材 IP54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3.塑壳断路器（100/4P；整定值：100/0.3A；运行分断能力：36kA；脱扣器形式：电子式）1个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4.微型断路器（3P；整定值：D20A；运行分断能力：6kA）2个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5.微型断路器（3P；整定值：D25A；运行分断能力：6kA）5个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6.微型断路器（3P；整定值：D10A；运行分断能力：6kA）3个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7.微型断路器（3P；整定值：C25A；运行分断能力：6kA）3个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8.浪涌保护器（I级SPD） 1个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9.智能电力仪器测量表 1个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8.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 w:bidi="ar"/>
              </w:rPr>
              <w:t>含箱内元件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4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三十二、虹吸滤池-电气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低压出线柜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1.名称:ZAP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2.安装方式:底边距地1.5米壁装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3.含箱内元件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4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三十三、石灰投加系统-电气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石灰投加控制箱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1.名称：06AP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2.规格型号：厂家配套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3.安装方式：落地安装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4.含箱内元件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4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三十四、总平自控-设备材料1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LUC1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户内型： DI:90 DO:0 AI:76 AO:6  Modbusx2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包括CPU模块,电源模块,触摸屏，环网型交换机(2光口、4电口)，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其余附件及软件供应商根据点数及配电系统配置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LCU2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户内型： DI:51 DO:25 AI:18 AO:3  Modbusx2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包括CPU模块,电源模块,触摸屏，环网型交换机(2光口、4电口)，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其余附件及软件供应商根据点数及配电系统配置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ECU201~212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包括CPU模块,电源模块,触摸屏，环网型交换机(4电口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其余附件及软件供应商根据点数及配电系统配置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PLC3站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户内型：DI:0 DO:0 AI:14 AO:0 Modbusx2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包括CPU模块,电源模块,触摸屏，环网型交换机(4电口)，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其余附件及软件供应商根据点数及配电系统配置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RCU1~4站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包括CPU模块,电源模块,触摸屏，环网型交换机(4电口)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  <w:t>其余附件及软件供应商根据点数及配电系统配置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LCU4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包括CPU模块,电源模块,触摸屏，环网型交换机(4电口)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其余附件及软件供应商根据点数及配电系统配置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LUC5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包括CPU模块,电源模块,触摸屏，环网型交换机(4电口)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其余附件及软件供应商根据点数及配电系统配置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LCU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户内型：DI:64 DO:32 AI:12 AO:0 Modbusx2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包括CPU模块,电源模块,触摸屏，环网型交换机(4电口)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其余附件及软件供应商根据点数及配电系统配置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NRV视频服务及存储器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Gato IPSAN-N16, 80路24小时30天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交换机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5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名称:主干交换机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5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规格:千兆带宽,4路千兆光纤端口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5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 路100/1000M电口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解码器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Gato 5001,H.264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通讯网络控制设备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通讯机柜42U标准柜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监控设备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图像监控软件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中心管理平台 SAM100, 系统商定制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监控摄像设备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6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名称:室外云台摄像机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6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类别:1080P,1/3〃带云台,含防护罩、夜视功能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监控摄像设备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7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名称:室内云台摄像机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7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类别:1080P,1/3〃带云台,含防护罩、夜视功能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监控摄像设备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8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名称:室内云台摄像机，防爆型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8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类别:1080P,1/3〃带云台,含防护罩、夜视功能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接线箱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电源分配及视频接线箱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距地1.5米壁装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LUC3站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户内型：IP42 DI:0 DO:0 AI:14 AO:0  Modbusx4包括CPU模块,电源模块,触摸屏，环网型交换机(2光口、4电口)，UPS：1KVA 0.5h 双变换在线式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其余附件及软件供应商根据点数及配电系统配置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交换机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9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名称:视频交换机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9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规格:2路千兆光纤端口,24路百兆电口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交换机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名称:视频交换机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规格:2路千兆光纤端口,8路百兆电口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安防计算机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主流商用机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监控设备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LCD监控屏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控制台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控制台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机柜、机架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机柜、机架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服务器柜42U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以太网主干交换机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1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规格:7900系列工业模块管理型交换机（2千兆光口，4个百兆光口+18个电口）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1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2千兆SFP接口用于控制中心核心数据互联，4个百兆光口用于自控环网，其中预留2个百兆光口，18个电口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网络服务器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历史/数据信息服务器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400W ATX冗余电源/双路XEON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E5410/4G，ECCDDR/1T HDD/1000M双网口/DVD-RW/24'’LCD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含操作系统，数据库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OP1,2操作员站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350W工业级ATX电源/core2 DUO 2.8GHZ/2G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DDR2/500GB/1000M双网口/DVD-RW/24''LCD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含系统软件，客户端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黑白激光打印机,A4/A3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控制室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UPS电源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6KVA,在线式,45min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配电间、控制室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LCD屏</w:t>
            </w:r>
          </w:p>
        </w:tc>
        <w:tc>
          <w:tcPr>
            <w:tcW w:w="57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67’LCD液晶显示系统。1400*1050分辨率，光源寿命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60000hr，对比度5000:1.可调视角180°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</w:tbl>
    <w:p>
      <w:pPr>
        <w:pStyle w:val="2"/>
        <w:rPr>
          <w:rFonts w:hint="eastAsia" w:hAnsi="宋体"/>
          <w:b/>
          <w:color w:val="000000"/>
          <w:sz w:val="52"/>
          <w:szCs w:val="52"/>
          <w:u w:val="single"/>
        </w:rPr>
      </w:pPr>
    </w:p>
    <w:p>
      <w:pPr>
        <w:pStyle w:val="2"/>
        <w:rPr>
          <w:rFonts w:hint="eastAsia" w:hAnsi="宋体"/>
          <w:b/>
          <w:color w:val="000000"/>
          <w:sz w:val="52"/>
          <w:szCs w:val="52"/>
          <w:u w:val="single"/>
        </w:rPr>
      </w:pPr>
    </w:p>
    <w:p>
      <w:pPr>
        <w:pStyle w:val="2"/>
        <w:rPr>
          <w:rFonts w:hint="eastAsia" w:hAnsi="宋体"/>
          <w:b/>
          <w:color w:val="000000"/>
          <w:sz w:val="52"/>
          <w:szCs w:val="52"/>
          <w:u w:val="single"/>
        </w:rPr>
      </w:pPr>
    </w:p>
    <w:p>
      <w:pPr>
        <w:pStyle w:val="2"/>
        <w:rPr>
          <w:rFonts w:hint="eastAsia" w:hAnsi="宋体"/>
          <w:b/>
          <w:color w:val="000000"/>
          <w:sz w:val="52"/>
          <w:szCs w:val="52"/>
          <w:u w:val="single"/>
        </w:rPr>
      </w:pPr>
    </w:p>
    <w:p>
      <w:pPr>
        <w:pStyle w:val="2"/>
        <w:rPr>
          <w:rFonts w:hint="eastAsia" w:hAnsi="宋体"/>
          <w:b/>
          <w:color w:val="000000"/>
          <w:sz w:val="52"/>
          <w:szCs w:val="52"/>
          <w:u w:val="single"/>
        </w:rPr>
      </w:pPr>
    </w:p>
    <w:p>
      <w:pPr>
        <w:pStyle w:val="2"/>
        <w:rPr>
          <w:rFonts w:hint="eastAsia" w:hAnsi="宋体"/>
          <w:b/>
          <w:color w:val="000000"/>
          <w:sz w:val="52"/>
          <w:szCs w:val="52"/>
          <w:u w:val="single"/>
        </w:rPr>
      </w:pPr>
    </w:p>
    <w:p>
      <w:pPr>
        <w:pStyle w:val="2"/>
        <w:rPr>
          <w:rFonts w:hint="eastAsia" w:hAnsi="宋体"/>
          <w:b/>
          <w:color w:val="000000"/>
          <w:sz w:val="52"/>
          <w:szCs w:val="52"/>
          <w:u w:val="single"/>
        </w:rPr>
      </w:pPr>
    </w:p>
    <w:p>
      <w:pPr>
        <w:pStyle w:val="6"/>
        <w:rPr>
          <w:rFonts w:hAnsi="宋体"/>
          <w:b/>
          <w:color w:val="000000"/>
          <w:sz w:val="52"/>
          <w:szCs w:val="52"/>
        </w:rPr>
      </w:pPr>
      <w:r>
        <w:rPr>
          <w:rFonts w:hint="eastAsia" w:hAnsi="宋体"/>
          <w:b/>
          <w:color w:val="000000"/>
          <w:sz w:val="52"/>
          <w:szCs w:val="52"/>
          <w:u w:val="single"/>
        </w:rPr>
        <w:t>正/副</w:t>
      </w:r>
      <w:r>
        <w:rPr>
          <w:rFonts w:hint="eastAsia" w:hAnsi="宋体"/>
          <w:b/>
          <w:color w:val="000000"/>
          <w:sz w:val="52"/>
          <w:szCs w:val="52"/>
        </w:rPr>
        <w:t>本</w:t>
      </w:r>
    </w:p>
    <w:p>
      <w:pPr>
        <w:pStyle w:val="6"/>
        <w:jc w:val="center"/>
        <w:rPr>
          <w:rFonts w:hAnsi="宋体"/>
          <w:b/>
          <w:color w:val="000000"/>
          <w:sz w:val="36"/>
          <w:szCs w:val="36"/>
        </w:rPr>
      </w:pPr>
    </w:p>
    <w:p>
      <w:pPr>
        <w:pStyle w:val="6"/>
        <w:rPr>
          <w:rFonts w:hAnsi="宋体"/>
          <w:b/>
          <w:color w:val="000000"/>
          <w:sz w:val="36"/>
          <w:szCs w:val="36"/>
        </w:rPr>
      </w:pPr>
    </w:p>
    <w:p>
      <w:pPr>
        <w:pStyle w:val="6"/>
        <w:jc w:val="center"/>
        <w:rPr>
          <w:rFonts w:hAnsi="宋体"/>
          <w:b/>
          <w:color w:val="000000"/>
          <w:sz w:val="84"/>
          <w:szCs w:val="84"/>
        </w:rPr>
      </w:pPr>
      <w:r>
        <w:rPr>
          <w:rFonts w:hint="eastAsia" w:hAnsi="宋体"/>
          <w:b/>
          <w:color w:val="000000"/>
          <w:sz w:val="84"/>
          <w:szCs w:val="84"/>
        </w:rPr>
        <w:t xml:space="preserve"> 报 价 文 件</w:t>
      </w:r>
    </w:p>
    <w:p>
      <w:pPr>
        <w:pStyle w:val="6"/>
        <w:jc w:val="center"/>
        <w:rPr>
          <w:rFonts w:hAnsi="宋体"/>
          <w:b/>
          <w:color w:val="000000"/>
          <w:sz w:val="36"/>
          <w:szCs w:val="36"/>
        </w:rPr>
      </w:pPr>
    </w:p>
    <w:p>
      <w:pPr>
        <w:pStyle w:val="6"/>
        <w:rPr>
          <w:rFonts w:hAnsi="宋体"/>
          <w:b/>
          <w:color w:val="000000"/>
          <w:sz w:val="36"/>
          <w:szCs w:val="36"/>
        </w:rPr>
      </w:pPr>
    </w:p>
    <w:p>
      <w:pPr>
        <w:pStyle w:val="6"/>
        <w:ind w:firstLine="2570" w:firstLineChars="800"/>
        <w:rPr>
          <w:rFonts w:hAnsi="宋体"/>
          <w:b/>
          <w:color w:val="000000"/>
          <w:sz w:val="32"/>
          <w:szCs w:val="32"/>
          <w:u w:val="single"/>
        </w:rPr>
      </w:pPr>
    </w:p>
    <w:p>
      <w:pPr>
        <w:pStyle w:val="6"/>
        <w:rPr>
          <w:rFonts w:hAnsi="宋体"/>
          <w:b/>
          <w:color w:val="000000"/>
          <w:sz w:val="32"/>
          <w:szCs w:val="32"/>
          <w:u w:val="single"/>
        </w:rPr>
      </w:pPr>
    </w:p>
    <w:p>
      <w:pPr>
        <w:pStyle w:val="6"/>
        <w:ind w:firstLine="2570" w:firstLineChars="800"/>
        <w:rPr>
          <w:rFonts w:hAnsi="宋体"/>
          <w:b/>
          <w:color w:val="000000"/>
          <w:sz w:val="32"/>
          <w:szCs w:val="32"/>
          <w:u w:val="single"/>
        </w:rPr>
      </w:pPr>
    </w:p>
    <w:p>
      <w:pPr>
        <w:pStyle w:val="6"/>
        <w:ind w:firstLine="803" w:firstLineChars="250"/>
        <w:rPr>
          <w:rFonts w:hint="eastAsia" w:hAnsi="宋体"/>
          <w:b/>
          <w:color w:val="000000"/>
          <w:sz w:val="32"/>
          <w:szCs w:val="32"/>
        </w:rPr>
      </w:pPr>
      <w:r>
        <w:rPr>
          <w:rFonts w:hint="eastAsia" w:hAnsi="宋体"/>
          <w:b/>
          <w:color w:val="000000"/>
          <w:sz w:val="32"/>
          <w:szCs w:val="32"/>
          <w:lang w:val="en-US" w:eastAsia="zh-CN"/>
        </w:rPr>
        <w:t>报价</w:t>
      </w:r>
      <w:r>
        <w:rPr>
          <w:rFonts w:hint="eastAsia" w:hAnsi="宋体"/>
          <w:b/>
          <w:color w:val="000000"/>
          <w:sz w:val="32"/>
          <w:szCs w:val="32"/>
        </w:rPr>
        <w:t>人：</w:t>
      </w:r>
      <w:r>
        <w:rPr>
          <w:rFonts w:hint="eastAsia" w:hAnsi="宋体"/>
          <w:b/>
          <w:color w:val="000000"/>
          <w:sz w:val="32"/>
          <w:szCs w:val="32"/>
          <w:u w:val="single"/>
        </w:rPr>
        <w:t xml:space="preserve">                       （盖单位公章）</w:t>
      </w:r>
    </w:p>
    <w:p>
      <w:pPr>
        <w:pStyle w:val="6"/>
        <w:ind w:firstLine="803" w:firstLineChars="250"/>
        <w:rPr>
          <w:rFonts w:hint="eastAsia" w:hAnsi="宋体"/>
          <w:b/>
          <w:color w:val="000000"/>
          <w:sz w:val="32"/>
          <w:szCs w:val="32"/>
        </w:rPr>
      </w:pPr>
      <w:r>
        <w:rPr>
          <w:rFonts w:hint="eastAsia" w:hAnsi="宋体"/>
          <w:b/>
          <w:color w:val="000000"/>
          <w:sz w:val="32"/>
          <w:szCs w:val="32"/>
        </w:rPr>
        <w:t>法定代表人或其委托代理人：</w:t>
      </w:r>
      <w:r>
        <w:rPr>
          <w:rFonts w:hint="eastAsia" w:hAnsi="宋体"/>
          <w:b/>
          <w:color w:val="000000"/>
          <w:sz w:val="32"/>
          <w:szCs w:val="32"/>
          <w:u w:val="single"/>
        </w:rPr>
        <w:t xml:space="preserve">          （签名）</w:t>
      </w:r>
    </w:p>
    <w:p>
      <w:pPr>
        <w:pStyle w:val="6"/>
        <w:ind w:firstLine="803" w:firstLineChars="250"/>
        <w:rPr>
          <w:rFonts w:hint="eastAsia" w:hAnsi="宋体"/>
          <w:b/>
          <w:color w:val="000000"/>
          <w:sz w:val="32"/>
          <w:szCs w:val="32"/>
        </w:rPr>
      </w:pPr>
      <w:r>
        <w:rPr>
          <w:rFonts w:hint="eastAsia" w:hAnsi="宋体"/>
          <w:b/>
          <w:color w:val="000000"/>
          <w:sz w:val="32"/>
          <w:szCs w:val="32"/>
          <w:lang w:val="en-US" w:eastAsia="zh-CN"/>
        </w:rPr>
        <w:t>联系电话</w:t>
      </w:r>
      <w:r>
        <w:rPr>
          <w:rFonts w:hint="eastAsia" w:hAnsi="宋体"/>
          <w:b/>
          <w:color w:val="000000"/>
          <w:sz w:val="32"/>
          <w:szCs w:val="32"/>
        </w:rPr>
        <w:t>：</w:t>
      </w:r>
      <w:r>
        <w:rPr>
          <w:rFonts w:hint="eastAsia" w:hAnsi="宋体"/>
          <w:b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hAnsi="宋体"/>
          <w:b/>
          <w:color w:val="00000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hAnsi="宋体"/>
          <w:b/>
          <w:color w:val="000000"/>
          <w:sz w:val="32"/>
          <w:szCs w:val="32"/>
          <w:u w:val="single"/>
        </w:rPr>
        <w:t xml:space="preserve">     </w:t>
      </w:r>
    </w:p>
    <w:p>
      <w:pPr>
        <w:pStyle w:val="6"/>
        <w:ind w:firstLine="803" w:firstLineChars="250"/>
        <w:rPr>
          <w:rFonts w:hAnsi="宋体"/>
          <w:b/>
          <w:color w:val="000000"/>
          <w:sz w:val="32"/>
          <w:szCs w:val="32"/>
        </w:rPr>
      </w:pPr>
      <w:r>
        <w:rPr>
          <w:rFonts w:hint="eastAsia" w:hAnsi="宋体"/>
          <w:b/>
          <w:color w:val="000000"/>
          <w:sz w:val="32"/>
          <w:szCs w:val="32"/>
        </w:rPr>
        <w:t>日期：</w:t>
      </w:r>
      <w:r>
        <w:rPr>
          <w:rFonts w:hint="eastAsia" w:hAnsi="宋体"/>
          <w:b/>
          <w:color w:val="000000"/>
          <w:sz w:val="32"/>
          <w:szCs w:val="32"/>
          <w:u w:val="single"/>
        </w:rPr>
        <w:t xml:space="preserve">  </w:t>
      </w:r>
      <w:r>
        <w:rPr>
          <w:rFonts w:hint="eastAsia" w:hAnsi="宋体"/>
          <w:b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hAnsi="宋体"/>
          <w:b/>
          <w:color w:val="000000"/>
          <w:sz w:val="32"/>
          <w:szCs w:val="32"/>
          <w:u w:val="single"/>
        </w:rPr>
        <w:t xml:space="preserve"> </w:t>
      </w:r>
      <w:r>
        <w:rPr>
          <w:rFonts w:hint="eastAsia" w:hAnsi="宋体"/>
          <w:b/>
          <w:color w:val="000000"/>
          <w:sz w:val="32"/>
          <w:szCs w:val="32"/>
        </w:rPr>
        <w:t>年</w:t>
      </w:r>
      <w:r>
        <w:rPr>
          <w:rFonts w:hint="eastAsia" w:hAnsi="宋体"/>
          <w:b/>
          <w:color w:val="000000"/>
          <w:sz w:val="32"/>
          <w:szCs w:val="32"/>
          <w:u w:val="single"/>
        </w:rPr>
        <w:t xml:space="preserve">     </w:t>
      </w:r>
      <w:r>
        <w:rPr>
          <w:rFonts w:hint="eastAsia" w:hAnsi="宋体"/>
          <w:b/>
          <w:color w:val="000000"/>
          <w:sz w:val="32"/>
          <w:szCs w:val="32"/>
        </w:rPr>
        <w:t>月</w:t>
      </w:r>
      <w:r>
        <w:rPr>
          <w:rFonts w:hint="eastAsia" w:hAnsi="宋体"/>
          <w:b/>
          <w:color w:val="000000"/>
          <w:sz w:val="32"/>
          <w:szCs w:val="32"/>
          <w:u w:val="single"/>
        </w:rPr>
        <w:t xml:space="preserve">     </w:t>
      </w:r>
      <w:r>
        <w:rPr>
          <w:rFonts w:hint="eastAsia" w:hAnsi="宋体"/>
          <w:b/>
          <w:color w:val="000000"/>
          <w:sz w:val="32"/>
          <w:szCs w:val="32"/>
        </w:rPr>
        <w:t>日</w:t>
      </w:r>
    </w:p>
    <w:p>
      <w:pPr>
        <w:pStyle w:val="6"/>
        <w:spacing w:line="500" w:lineRule="exact"/>
        <w:rPr>
          <w:rFonts w:hAnsi="宋体"/>
          <w:b/>
          <w:color w:val="000000"/>
          <w:sz w:val="32"/>
          <w:szCs w:val="32"/>
        </w:rPr>
      </w:pPr>
    </w:p>
    <w:p>
      <w:pPr>
        <w:pStyle w:val="6"/>
        <w:spacing w:line="500" w:lineRule="exact"/>
        <w:rPr>
          <w:rFonts w:ascii="隶书"/>
          <w:b/>
          <w:bCs/>
          <w:color w:val="000000"/>
          <w:sz w:val="32"/>
        </w:rPr>
      </w:pPr>
    </w:p>
    <w:p>
      <w:pPr>
        <w:pStyle w:val="6"/>
        <w:spacing w:line="500" w:lineRule="exact"/>
        <w:rPr>
          <w:rFonts w:ascii="隶书"/>
          <w:b/>
          <w:bCs/>
          <w:color w:val="000000"/>
          <w:sz w:val="32"/>
        </w:rPr>
      </w:pPr>
    </w:p>
    <w:p>
      <w:pPr>
        <w:pStyle w:val="6"/>
        <w:spacing w:line="500" w:lineRule="exact"/>
        <w:rPr>
          <w:rFonts w:ascii="隶书"/>
          <w:b/>
          <w:bCs/>
          <w:color w:val="000000"/>
          <w:sz w:val="32"/>
        </w:rPr>
      </w:pPr>
    </w:p>
    <w:p>
      <w:pPr>
        <w:pStyle w:val="6"/>
        <w:spacing w:line="500" w:lineRule="exact"/>
        <w:rPr>
          <w:rFonts w:ascii="隶书"/>
          <w:b/>
          <w:bCs/>
          <w:color w:val="000000"/>
          <w:sz w:val="32"/>
        </w:rPr>
      </w:pPr>
    </w:p>
    <w:p>
      <w:pPr>
        <w:pStyle w:val="6"/>
        <w:spacing w:line="500" w:lineRule="exact"/>
        <w:rPr>
          <w:rFonts w:ascii="隶书"/>
          <w:b/>
          <w:bCs/>
          <w:color w:val="000000"/>
          <w:sz w:val="32"/>
        </w:rPr>
      </w:pPr>
    </w:p>
    <w:p>
      <w:pPr>
        <w:pStyle w:val="6"/>
        <w:spacing w:line="500" w:lineRule="exact"/>
        <w:rPr>
          <w:rFonts w:ascii="隶书"/>
          <w:b/>
          <w:bCs/>
          <w:color w:val="000000"/>
          <w:sz w:val="32"/>
        </w:rPr>
      </w:pPr>
    </w:p>
    <w:p>
      <w:pPr>
        <w:pStyle w:val="6"/>
        <w:spacing w:line="500" w:lineRule="exact"/>
        <w:rPr>
          <w:rFonts w:ascii="隶书"/>
          <w:b/>
          <w:bCs/>
          <w:color w:val="000000"/>
          <w:sz w:val="32"/>
        </w:rPr>
      </w:pPr>
    </w:p>
    <w:p>
      <w:pPr>
        <w:pStyle w:val="6"/>
        <w:spacing w:line="500" w:lineRule="exact"/>
        <w:rPr>
          <w:rFonts w:ascii="隶书"/>
          <w:b/>
          <w:bCs/>
          <w:color w:val="000000"/>
          <w:sz w:val="32"/>
        </w:rPr>
      </w:pPr>
    </w:p>
    <w:p>
      <w:pPr>
        <w:pStyle w:val="6"/>
        <w:spacing w:line="500" w:lineRule="exact"/>
        <w:jc w:val="center"/>
        <w:rPr>
          <w:rFonts w:ascii="隶书"/>
          <w:b/>
          <w:bCs/>
          <w:color w:val="000000"/>
          <w:sz w:val="32"/>
        </w:rPr>
      </w:pPr>
      <w:r>
        <w:rPr>
          <w:rFonts w:hint="eastAsia" w:ascii="隶书"/>
          <w:b/>
          <w:bCs/>
          <w:color w:val="000000"/>
          <w:sz w:val="32"/>
        </w:rPr>
        <w:t>报价函（格式）</w:t>
      </w:r>
    </w:p>
    <w:p>
      <w:pPr>
        <w:tabs>
          <w:tab w:val="left" w:pos="210"/>
        </w:tabs>
        <w:spacing w:line="400" w:lineRule="exact"/>
        <w:ind w:firstLine="3200" w:firstLineChars="1000"/>
        <w:rPr>
          <w:rFonts w:ascii="隶书" w:eastAsia="隶书"/>
          <w:color w:val="000000"/>
          <w:spacing w:val="20"/>
          <w:sz w:val="28"/>
        </w:rPr>
      </w:pPr>
    </w:p>
    <w:p>
      <w:pPr>
        <w:pStyle w:val="6"/>
        <w:spacing w:line="420" w:lineRule="exact"/>
        <w:rPr>
          <w:rFonts w:hAnsi="宋体"/>
          <w:color w:val="000000"/>
          <w:u w:val="single"/>
        </w:rPr>
      </w:pPr>
      <w:r>
        <w:rPr>
          <w:rFonts w:hint="eastAsia" w:hAnsi="宋体"/>
        </w:rPr>
        <w:t>致：</w:t>
      </w:r>
      <w:r>
        <w:rPr>
          <w:rFonts w:hint="eastAsia" w:hAnsi="宋体"/>
          <w:szCs w:val="21"/>
          <w:lang w:eastAsia="zh-CN"/>
        </w:rPr>
        <w:t>苏世建设管理集团有限公司</w:t>
      </w:r>
    </w:p>
    <w:p>
      <w:pPr>
        <w:spacing w:line="380" w:lineRule="exact"/>
        <w:ind w:firstLine="420" w:firstLineChars="200"/>
        <w:rPr>
          <w:rFonts w:hint="eastAsia" w:ascii="宋体" w:hAnsi="宋体" w:cs="Times New Roman"/>
          <w:szCs w:val="20"/>
          <w:lang w:eastAsia="zh-CN"/>
        </w:rPr>
      </w:pPr>
      <w:r>
        <w:rPr>
          <w:rFonts w:hint="eastAsia" w:ascii="宋体" w:hAnsi="宋体"/>
          <w:szCs w:val="20"/>
        </w:rPr>
        <w:t>根据</w:t>
      </w:r>
      <w:r>
        <w:rPr>
          <w:rFonts w:hint="eastAsia" w:ascii="宋体" w:hAnsi="宋体"/>
          <w:szCs w:val="20"/>
          <w:lang w:eastAsia="zh-CN"/>
        </w:rPr>
        <w:t>钦州市水务综合提升项目（水厂改扩建工程）（设备部分）</w:t>
      </w:r>
      <w:r>
        <w:rPr>
          <w:rFonts w:hint="eastAsia" w:ascii="宋体" w:hAnsi="宋体"/>
          <w:szCs w:val="20"/>
        </w:rPr>
        <w:t>（</w:t>
      </w:r>
      <w:r>
        <w:rPr>
          <w:rFonts w:hint="eastAsia" w:ascii="宋体" w:hAnsi="宋体"/>
          <w:szCs w:val="20"/>
          <w:lang w:eastAsia="zh-CN"/>
        </w:rPr>
        <w:t>SSJT2022-XJ-QZ0</w:t>
      </w:r>
      <w:r>
        <w:rPr>
          <w:rFonts w:hint="eastAsia" w:ascii="宋体" w:hAnsi="宋体"/>
          <w:szCs w:val="20"/>
          <w:lang w:val="en-US" w:eastAsia="zh-CN"/>
        </w:rPr>
        <w:t>19</w:t>
      </w:r>
      <w:r>
        <w:rPr>
          <w:rFonts w:hint="eastAsia" w:ascii="宋体" w:hAnsi="宋体"/>
          <w:szCs w:val="20"/>
        </w:rPr>
        <w:t>），正式授权下述签字人</w:t>
      </w:r>
      <w:r>
        <w:rPr>
          <w:rFonts w:hint="eastAsia" w:ascii="宋体" w:hAnsi="宋体"/>
          <w:szCs w:val="20"/>
          <w:u w:val="single"/>
        </w:rPr>
        <w:t xml:space="preserve">         </w:t>
      </w:r>
      <w:r>
        <w:rPr>
          <w:rFonts w:hint="eastAsia" w:ascii="宋体" w:hAnsi="宋体"/>
          <w:szCs w:val="20"/>
        </w:rPr>
        <w:t>（姓名和职务）代表</w:t>
      </w:r>
      <w:r>
        <w:rPr>
          <w:rFonts w:hint="eastAsia" w:ascii="宋体" w:hAnsi="宋体"/>
          <w:szCs w:val="20"/>
          <w:lang w:eastAsia="zh-CN"/>
        </w:rPr>
        <w:t>报价人</w:t>
      </w:r>
      <w:r>
        <w:rPr>
          <w:rFonts w:hint="eastAsia" w:ascii="宋体" w:hAnsi="宋体"/>
          <w:szCs w:val="20"/>
        </w:rPr>
        <w:t xml:space="preserve"> </w:t>
      </w:r>
      <w:r>
        <w:rPr>
          <w:rFonts w:hint="eastAsia" w:ascii="宋体" w:hAnsi="宋体"/>
          <w:szCs w:val="20"/>
          <w:u w:val="single"/>
        </w:rPr>
        <w:t xml:space="preserve">                            </w:t>
      </w:r>
      <w:r>
        <w:rPr>
          <w:rFonts w:hint="eastAsia" w:ascii="宋体" w:hAnsi="宋体"/>
          <w:szCs w:val="20"/>
        </w:rPr>
        <w:t>（报价单位名称），提交下述文件</w:t>
      </w:r>
      <w:r>
        <w:rPr>
          <w:rFonts w:hint="eastAsia" w:ascii="宋体" w:hAnsi="宋体" w:cs="Times New Roman"/>
          <w:szCs w:val="20"/>
          <w:lang w:eastAsia="zh-CN"/>
        </w:rPr>
        <w:t>正本一份、副本二份。</w:t>
      </w:r>
    </w:p>
    <w:p>
      <w:pPr>
        <w:pStyle w:val="6"/>
        <w:spacing w:line="420" w:lineRule="exact"/>
        <w:ind w:left="1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一、报价表</w:t>
      </w:r>
    </w:p>
    <w:p>
      <w:pPr>
        <w:pStyle w:val="6"/>
        <w:spacing w:line="420" w:lineRule="exact"/>
        <w:ind w:left="100" w:firstLine="420"/>
        <w:rPr>
          <w:rFonts w:hint="eastAsia" w:hAnsi="宋体"/>
          <w:color w:val="000000"/>
        </w:rPr>
      </w:pPr>
      <w:r>
        <w:rPr>
          <w:rFonts w:hint="eastAsia" w:hAnsi="宋体"/>
          <w:color w:val="000000"/>
          <w:lang w:val="en-US" w:eastAsia="zh-CN"/>
        </w:rPr>
        <w:t>二、</w:t>
      </w:r>
      <w:r>
        <w:rPr>
          <w:rFonts w:hint="eastAsia" w:hAnsi="宋体"/>
          <w:color w:val="000000"/>
        </w:rPr>
        <w:t>法定代表人授权委托书</w:t>
      </w:r>
    </w:p>
    <w:p>
      <w:pPr>
        <w:pStyle w:val="6"/>
        <w:spacing w:line="420" w:lineRule="exact"/>
        <w:ind w:left="100" w:firstLine="420"/>
        <w:rPr>
          <w:color w:val="000000"/>
        </w:rPr>
      </w:pPr>
      <w:r>
        <w:rPr>
          <w:rFonts w:hint="eastAsia" w:hAnsi="宋体"/>
          <w:color w:val="000000"/>
          <w:lang w:val="en-US" w:eastAsia="zh-CN"/>
        </w:rPr>
        <w:t>三</w:t>
      </w:r>
      <w:r>
        <w:rPr>
          <w:rFonts w:hint="eastAsia" w:hAnsi="宋体"/>
          <w:color w:val="000000"/>
        </w:rPr>
        <w:t>、</w:t>
      </w:r>
      <w:r>
        <w:rPr>
          <w:rFonts w:hint="eastAsia"/>
          <w:color w:val="000000"/>
        </w:rPr>
        <w:t>营业执照副本复印件</w:t>
      </w:r>
    </w:p>
    <w:p>
      <w:pPr>
        <w:pStyle w:val="6"/>
        <w:spacing w:line="420" w:lineRule="exact"/>
        <w:ind w:firstLine="420" w:firstLineChars="200"/>
        <w:rPr>
          <w:rFonts w:hAnsi="宋体"/>
        </w:rPr>
      </w:pPr>
      <w:r>
        <w:rPr>
          <w:rFonts w:hint="eastAsia" w:hAnsi="宋体"/>
        </w:rPr>
        <w:t>据此函，签字人兹宣布同意如下：</w:t>
      </w:r>
    </w:p>
    <w:p>
      <w:pPr>
        <w:pStyle w:val="6"/>
        <w:spacing w:line="420" w:lineRule="exact"/>
        <w:ind w:firstLine="460" w:firstLineChars="200"/>
        <w:rPr>
          <w:rFonts w:hAnsi="宋体"/>
        </w:rPr>
      </w:pPr>
      <w:r>
        <w:rPr>
          <w:rFonts w:hint="eastAsia" w:hAnsi="宋体"/>
          <w:spacing w:val="10"/>
        </w:rPr>
        <w:t>1、按货物需求一览表和报价表，总报价（</w:t>
      </w:r>
      <w:r>
        <w:rPr>
          <w:rFonts w:hint="eastAsia" w:hAnsi="宋体"/>
        </w:rPr>
        <w:t>人民币</w:t>
      </w:r>
      <w:r>
        <w:rPr>
          <w:rFonts w:hint="eastAsia" w:hAnsi="宋体"/>
          <w:spacing w:val="10"/>
        </w:rPr>
        <w:t>大写）</w:t>
      </w:r>
      <w:r>
        <w:rPr>
          <w:rFonts w:hint="eastAsia" w:hAnsi="宋体"/>
          <w:spacing w:val="10"/>
          <w:u w:val="single"/>
        </w:rPr>
        <w:t xml:space="preserve">    </w:t>
      </w:r>
      <w:r>
        <w:rPr>
          <w:rFonts w:hint="eastAsia" w:hAnsi="宋体"/>
          <w:spacing w:val="10"/>
          <w:u w:val="single"/>
          <w:lang w:val="en-US" w:eastAsia="zh-CN"/>
        </w:rPr>
        <w:t xml:space="preserve">    </w:t>
      </w:r>
      <w:r>
        <w:rPr>
          <w:rFonts w:hint="eastAsia" w:hAnsi="宋体"/>
          <w:u w:val="single"/>
        </w:rPr>
        <w:t xml:space="preserve">  </w:t>
      </w:r>
      <w:r>
        <w:rPr>
          <w:rFonts w:hint="eastAsia" w:hAnsi="宋体"/>
        </w:rPr>
        <w:t>元 (￥</w:t>
      </w:r>
      <w:r>
        <w:rPr>
          <w:rFonts w:hint="eastAsia" w:hAnsi="宋体"/>
          <w:u w:val="single"/>
        </w:rPr>
        <w:t xml:space="preserve">             </w:t>
      </w:r>
      <w:r>
        <w:rPr>
          <w:rFonts w:hint="eastAsia" w:hAnsi="宋体"/>
        </w:rPr>
        <w:t>)。</w:t>
      </w:r>
    </w:p>
    <w:p>
      <w:pPr>
        <w:tabs>
          <w:tab w:val="left" w:pos="210"/>
        </w:tabs>
        <w:spacing w:line="400" w:lineRule="exact"/>
        <w:ind w:firstLine="42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2、遵照询价邀请函的规定。</w:t>
      </w:r>
    </w:p>
    <w:p>
      <w:pPr>
        <w:pStyle w:val="6"/>
        <w:spacing w:line="420" w:lineRule="exact"/>
        <w:ind w:firstLine="420" w:firstLineChars="200"/>
        <w:rPr>
          <w:rFonts w:hint="eastAsia" w:hAnsi="宋体"/>
          <w:color w:val="000000"/>
          <w:lang w:val="en-US" w:eastAsia="zh-CN"/>
        </w:rPr>
      </w:pPr>
      <w:r>
        <w:rPr>
          <w:rFonts w:hint="eastAsia" w:hAnsi="宋体"/>
          <w:color w:val="000000"/>
          <w:lang w:val="en-US" w:eastAsia="zh-CN"/>
        </w:rPr>
        <w:t>3、本报价函连同报价文件，技术规范，报价清单将构成我们双方之间共同遵守的文件，对双方具有约束力。</w:t>
      </w:r>
    </w:p>
    <w:p>
      <w:pPr>
        <w:pStyle w:val="6"/>
        <w:spacing w:line="420" w:lineRule="exact"/>
        <w:ind w:firstLine="420" w:firstLineChars="200"/>
        <w:rPr>
          <w:rFonts w:hint="eastAsia" w:hAnsi="宋体"/>
          <w:color w:val="000000"/>
          <w:lang w:val="en-US" w:eastAsia="zh-CN"/>
        </w:rPr>
      </w:pPr>
      <w:r>
        <w:rPr>
          <w:rFonts w:hint="eastAsia" w:hAnsi="宋体"/>
          <w:color w:val="000000"/>
          <w:lang w:val="en-US" w:eastAsia="zh-CN"/>
        </w:rPr>
        <w:t>4、我方承诺已经具备《中华人民共和国政府采购法》中规定的参加政府采购活动的供应商应当具备的条件：</w:t>
      </w:r>
    </w:p>
    <w:p>
      <w:pPr>
        <w:pStyle w:val="6"/>
        <w:numPr>
          <w:ilvl w:val="0"/>
          <w:numId w:val="32"/>
        </w:numPr>
        <w:spacing w:line="360" w:lineRule="exact"/>
        <w:rPr>
          <w:rFonts w:hAnsi="宋体"/>
        </w:rPr>
      </w:pPr>
      <w:r>
        <w:rPr>
          <w:rFonts w:hint="eastAsia" w:hAnsi="宋体"/>
        </w:rPr>
        <w:t>具有独立承担民事责任的能力；</w:t>
      </w:r>
    </w:p>
    <w:p>
      <w:pPr>
        <w:pStyle w:val="6"/>
        <w:numPr>
          <w:ilvl w:val="0"/>
          <w:numId w:val="32"/>
        </w:numPr>
        <w:spacing w:line="360" w:lineRule="exact"/>
        <w:rPr>
          <w:rFonts w:hAnsi="宋体"/>
        </w:rPr>
      </w:pPr>
      <w:r>
        <w:rPr>
          <w:rFonts w:hint="eastAsia" w:hAnsi="宋体"/>
        </w:rPr>
        <w:t>具有良好的商业信誉和健全的财务会计制度；</w:t>
      </w:r>
    </w:p>
    <w:p>
      <w:pPr>
        <w:pStyle w:val="6"/>
        <w:numPr>
          <w:ilvl w:val="0"/>
          <w:numId w:val="32"/>
        </w:numPr>
        <w:spacing w:line="360" w:lineRule="exact"/>
        <w:rPr>
          <w:rFonts w:hAnsi="宋体"/>
        </w:rPr>
      </w:pPr>
      <w:r>
        <w:rPr>
          <w:rFonts w:hint="eastAsia" w:hAnsi="宋体"/>
        </w:rPr>
        <w:t>具有履行合同所必需的设备和专业技术能力；</w:t>
      </w:r>
    </w:p>
    <w:p>
      <w:pPr>
        <w:pStyle w:val="6"/>
        <w:numPr>
          <w:ilvl w:val="0"/>
          <w:numId w:val="32"/>
        </w:numPr>
        <w:spacing w:line="360" w:lineRule="exact"/>
        <w:rPr>
          <w:rFonts w:hAnsi="宋体"/>
        </w:rPr>
      </w:pPr>
      <w:r>
        <w:rPr>
          <w:rFonts w:hint="eastAsia" w:hAnsi="宋体"/>
        </w:rPr>
        <w:t>有依法缴纳税收和社会保障资金的良好记录；</w:t>
      </w:r>
    </w:p>
    <w:p>
      <w:pPr>
        <w:pStyle w:val="6"/>
        <w:numPr>
          <w:ilvl w:val="0"/>
          <w:numId w:val="32"/>
        </w:numPr>
        <w:spacing w:line="360" w:lineRule="exact"/>
        <w:rPr>
          <w:rFonts w:hAnsi="宋体"/>
        </w:rPr>
      </w:pPr>
      <w:r>
        <w:rPr>
          <w:rFonts w:hint="eastAsia" w:hAnsi="宋体"/>
        </w:rPr>
        <w:t>参加此项采购活动前三年内，在经营活动中没有重大违法记录。</w:t>
      </w:r>
    </w:p>
    <w:p>
      <w:pPr>
        <w:pStyle w:val="6"/>
        <w:spacing w:line="360" w:lineRule="exact"/>
        <w:ind w:firstLine="420"/>
        <w:rPr>
          <w:rFonts w:hAnsi="宋体"/>
        </w:rPr>
      </w:pPr>
      <w:r>
        <w:rPr>
          <w:rFonts w:hint="eastAsia" w:hAnsi="宋体"/>
        </w:rPr>
        <w:t>5、我方已详细审核询价文件，我方知道必须放弃提出含糊不清或误解问题的权利。</w:t>
      </w:r>
    </w:p>
    <w:p>
      <w:pPr>
        <w:pStyle w:val="6"/>
        <w:spacing w:line="360" w:lineRule="exact"/>
        <w:ind w:firstLine="420"/>
        <w:rPr>
          <w:rFonts w:hAnsi="宋体"/>
        </w:rPr>
      </w:pPr>
      <w:r>
        <w:rPr>
          <w:rFonts w:hint="eastAsia" w:hAnsi="宋体"/>
        </w:rPr>
        <w:t>6、如果在报价有效期内撤回报价或者有其他违约行为。</w:t>
      </w:r>
    </w:p>
    <w:p>
      <w:pPr>
        <w:pStyle w:val="6"/>
        <w:spacing w:line="360" w:lineRule="exact"/>
        <w:ind w:firstLine="420"/>
        <w:rPr>
          <w:rFonts w:hAnsi="宋体"/>
        </w:rPr>
      </w:pPr>
      <w:r>
        <w:rPr>
          <w:rFonts w:hint="eastAsia" w:hAnsi="宋体"/>
        </w:rPr>
        <w:t>7、同意应贵方要求提供与本报价有关的任何数据或资料。</w:t>
      </w:r>
    </w:p>
    <w:p>
      <w:pPr>
        <w:pStyle w:val="6"/>
        <w:spacing w:line="360" w:lineRule="exact"/>
        <w:ind w:firstLine="420" w:firstLineChars="200"/>
        <w:rPr>
          <w:rFonts w:hAnsi="宋体"/>
        </w:rPr>
      </w:pPr>
      <w:r>
        <w:rPr>
          <w:rFonts w:hint="eastAsia" w:hAnsi="宋体"/>
        </w:rPr>
        <w:t>8、若贵方需要，我方愿意提供我方作出的一切承诺的证明材料。</w:t>
      </w:r>
    </w:p>
    <w:p>
      <w:pPr>
        <w:pStyle w:val="6"/>
        <w:spacing w:line="360" w:lineRule="exact"/>
        <w:ind w:firstLine="420" w:firstLineChars="200"/>
        <w:rPr>
          <w:rFonts w:hAnsi="宋体"/>
        </w:rPr>
      </w:pPr>
      <w:r>
        <w:rPr>
          <w:rFonts w:hint="eastAsia" w:hAnsi="宋体"/>
        </w:rPr>
        <w:t>9、我方将严格遵守《中华人民共和国政府采购法》第七十七条规定，供应商有下列情形之一的，处以采购金额5‰以上10‰以下的罚款，列入不良行为记录名单，在一至三年内禁止参加政府采购活动，有违法所得的，并处没收违法所得，情节严重的，由工商行政管理机关吊销营业执照；构成犯罪的，依法追究刑事责任：</w:t>
      </w:r>
    </w:p>
    <w:p>
      <w:pPr>
        <w:pStyle w:val="6"/>
        <w:numPr>
          <w:ilvl w:val="0"/>
          <w:numId w:val="33"/>
        </w:numPr>
        <w:spacing w:line="360" w:lineRule="exact"/>
        <w:rPr>
          <w:rFonts w:hAnsi="宋体"/>
        </w:rPr>
      </w:pPr>
      <w:r>
        <w:rPr>
          <w:rFonts w:hint="eastAsia" w:hAnsi="宋体"/>
        </w:rPr>
        <w:t>提供虚假材料谋取询价采购成交的；</w:t>
      </w:r>
    </w:p>
    <w:p>
      <w:pPr>
        <w:pStyle w:val="6"/>
        <w:numPr>
          <w:ilvl w:val="0"/>
          <w:numId w:val="33"/>
        </w:numPr>
        <w:spacing w:line="360" w:lineRule="exact"/>
        <w:rPr>
          <w:rFonts w:hAnsi="宋体"/>
        </w:rPr>
      </w:pPr>
      <w:r>
        <w:rPr>
          <w:rFonts w:hint="eastAsia" w:hAnsi="宋体"/>
        </w:rPr>
        <w:t>采取不正当手段诋毁、排挤其他供应商的；</w:t>
      </w:r>
    </w:p>
    <w:p>
      <w:pPr>
        <w:pStyle w:val="6"/>
        <w:numPr>
          <w:ilvl w:val="0"/>
          <w:numId w:val="33"/>
        </w:numPr>
        <w:spacing w:line="360" w:lineRule="exact"/>
        <w:rPr>
          <w:rFonts w:hAnsi="宋体"/>
        </w:rPr>
      </w:pPr>
      <w:r>
        <w:rPr>
          <w:rFonts w:hint="eastAsia" w:hAnsi="宋体"/>
        </w:rPr>
        <w:t>与采购人、其他供应商或者采购代理机构恶意串通的；</w:t>
      </w:r>
    </w:p>
    <w:p>
      <w:pPr>
        <w:pStyle w:val="6"/>
        <w:numPr>
          <w:ilvl w:val="0"/>
          <w:numId w:val="33"/>
        </w:numPr>
        <w:spacing w:line="360" w:lineRule="exact"/>
        <w:rPr>
          <w:rFonts w:hAnsi="宋体"/>
        </w:rPr>
      </w:pPr>
      <w:r>
        <w:rPr>
          <w:rFonts w:hint="eastAsia" w:hAnsi="宋体"/>
        </w:rPr>
        <w:t>向采购人、采购代理机构行贿或者提供其他不正当利益的；</w:t>
      </w:r>
    </w:p>
    <w:p>
      <w:pPr>
        <w:pStyle w:val="6"/>
        <w:numPr>
          <w:ilvl w:val="0"/>
          <w:numId w:val="33"/>
        </w:numPr>
        <w:spacing w:line="360" w:lineRule="exact"/>
        <w:rPr>
          <w:rFonts w:hAnsi="宋体"/>
        </w:rPr>
      </w:pPr>
      <w:r>
        <w:rPr>
          <w:rFonts w:hint="eastAsia" w:hAnsi="宋体"/>
        </w:rPr>
        <w:t>在询价采购过程中与采购人进行私下协商谈判的；</w:t>
      </w:r>
    </w:p>
    <w:p>
      <w:pPr>
        <w:pStyle w:val="6"/>
        <w:numPr>
          <w:ilvl w:val="0"/>
          <w:numId w:val="33"/>
        </w:numPr>
        <w:spacing w:line="360" w:lineRule="exact"/>
        <w:rPr>
          <w:rFonts w:hAnsi="宋体"/>
        </w:rPr>
      </w:pPr>
      <w:r>
        <w:rPr>
          <w:rFonts w:hint="eastAsia" w:hAnsi="宋体"/>
        </w:rPr>
        <w:t>拒绝有关部门监督检查或提供虚假情况的。</w:t>
      </w:r>
    </w:p>
    <w:p>
      <w:pPr>
        <w:pStyle w:val="6"/>
        <w:spacing w:line="320" w:lineRule="exact"/>
        <w:rPr>
          <w:rFonts w:hAnsi="宋体"/>
        </w:rPr>
      </w:pPr>
    </w:p>
    <w:p>
      <w:pPr>
        <w:pStyle w:val="6"/>
        <w:spacing w:line="400" w:lineRule="exact"/>
        <w:ind w:firstLine="420"/>
        <w:rPr>
          <w:rFonts w:hAnsi="宋体"/>
        </w:rPr>
      </w:pPr>
      <w:r>
        <w:rPr>
          <w:rFonts w:hint="eastAsia" w:hAnsi="宋体"/>
        </w:rPr>
        <w:t>与本报价有关的正式通讯地址为：</w:t>
      </w:r>
    </w:p>
    <w:p>
      <w:pPr>
        <w:pStyle w:val="6"/>
        <w:spacing w:line="400" w:lineRule="exact"/>
        <w:ind w:firstLine="420"/>
        <w:rPr>
          <w:rFonts w:hAnsi="宋体"/>
        </w:rPr>
      </w:pPr>
      <w:r>
        <w:rPr>
          <w:rFonts w:hint="eastAsia" w:hAnsi="宋体"/>
        </w:rPr>
        <w:t>地址：</w:t>
      </w:r>
      <w:r>
        <w:rPr>
          <w:rFonts w:hint="eastAsia" w:hAnsi="宋体"/>
          <w:u w:val="single"/>
        </w:rPr>
        <w:t xml:space="preserve">                                </w:t>
      </w:r>
      <w:r>
        <w:rPr>
          <w:rFonts w:hint="eastAsia" w:hAnsi="宋体"/>
        </w:rPr>
        <w:t xml:space="preserve"> 邮政编码：</w:t>
      </w:r>
      <w:r>
        <w:rPr>
          <w:rFonts w:hint="eastAsia" w:hAnsi="宋体"/>
          <w:u w:val="single"/>
        </w:rPr>
        <w:t xml:space="preserve">             </w:t>
      </w:r>
    </w:p>
    <w:p>
      <w:pPr>
        <w:pStyle w:val="6"/>
        <w:spacing w:line="400" w:lineRule="exact"/>
        <w:ind w:firstLine="420"/>
        <w:rPr>
          <w:rFonts w:hAnsi="宋体"/>
          <w:u w:val="single"/>
        </w:rPr>
      </w:pPr>
      <w:r>
        <w:rPr>
          <w:rFonts w:hint="eastAsia" w:hAnsi="宋体"/>
        </w:rPr>
        <w:t>电话：</w:t>
      </w:r>
      <w:r>
        <w:rPr>
          <w:rFonts w:hint="eastAsia" w:hAnsi="宋体"/>
          <w:u w:val="single"/>
        </w:rPr>
        <w:t xml:space="preserve">                                      　　　　　　　　　</w:t>
      </w:r>
    </w:p>
    <w:p>
      <w:pPr>
        <w:pStyle w:val="6"/>
        <w:spacing w:line="400" w:lineRule="exact"/>
        <w:ind w:firstLine="420"/>
        <w:rPr>
          <w:rFonts w:hAnsi="宋体"/>
        </w:rPr>
      </w:pPr>
      <w:r>
        <w:rPr>
          <w:rFonts w:hint="eastAsia" w:hAnsi="宋体"/>
        </w:rPr>
        <w:t>传真：</w:t>
      </w:r>
      <w:r>
        <w:rPr>
          <w:rFonts w:hint="eastAsia" w:hAnsi="宋体"/>
          <w:u w:val="single"/>
        </w:rPr>
        <w:t>　　　　　　　　　　　　　　　　　　　　　　　　　　　　</w:t>
      </w:r>
    </w:p>
    <w:p>
      <w:pPr>
        <w:pStyle w:val="6"/>
        <w:spacing w:line="400" w:lineRule="exact"/>
        <w:ind w:firstLine="420"/>
        <w:rPr>
          <w:rFonts w:hAnsi="宋体"/>
          <w:u w:val="single"/>
        </w:rPr>
      </w:pPr>
      <w:r>
        <w:rPr>
          <w:rFonts w:hint="eastAsia" w:hAnsi="宋体"/>
        </w:rPr>
        <w:t>开户名称：</w:t>
      </w:r>
      <w:r>
        <w:rPr>
          <w:rFonts w:hint="eastAsia" w:hAnsi="宋体"/>
          <w:u w:val="single"/>
        </w:rPr>
        <w:t xml:space="preserve">                                                    </w:t>
      </w:r>
    </w:p>
    <w:p>
      <w:pPr>
        <w:pStyle w:val="6"/>
        <w:spacing w:line="400" w:lineRule="exact"/>
        <w:ind w:firstLine="420"/>
        <w:rPr>
          <w:rFonts w:hAnsi="宋体"/>
          <w:u w:val="single"/>
        </w:rPr>
      </w:pPr>
      <w:r>
        <w:rPr>
          <w:rFonts w:hint="eastAsia" w:hAnsi="宋体"/>
        </w:rPr>
        <w:t>开户银行：</w:t>
      </w:r>
      <w:r>
        <w:rPr>
          <w:rFonts w:hint="eastAsia" w:hAnsi="宋体"/>
          <w:u w:val="single"/>
        </w:rPr>
        <w:t xml:space="preserve">                                                    </w:t>
      </w:r>
    </w:p>
    <w:p>
      <w:pPr>
        <w:pStyle w:val="6"/>
        <w:spacing w:line="400" w:lineRule="exact"/>
        <w:ind w:firstLine="420"/>
        <w:rPr>
          <w:rFonts w:hAnsi="宋体"/>
          <w:u w:val="single"/>
        </w:rPr>
      </w:pPr>
      <w:r>
        <w:rPr>
          <w:rFonts w:hint="eastAsia" w:hAnsi="宋体"/>
        </w:rPr>
        <w:t>帐    号：</w:t>
      </w:r>
      <w:r>
        <w:rPr>
          <w:rFonts w:hint="eastAsia" w:hAnsi="宋体"/>
          <w:u w:val="single"/>
        </w:rPr>
        <w:t xml:space="preserve">                                                    </w:t>
      </w:r>
    </w:p>
    <w:p>
      <w:pPr>
        <w:pStyle w:val="6"/>
        <w:spacing w:line="400" w:lineRule="exact"/>
        <w:ind w:firstLine="420"/>
        <w:rPr>
          <w:rFonts w:hAnsi="宋体"/>
        </w:rPr>
      </w:pPr>
      <w:r>
        <w:rPr>
          <w:rFonts w:hint="eastAsia" w:hAnsi="宋体"/>
        </w:rPr>
        <w:t>法定代表人或其委托代理人签名（或盖章）：</w:t>
      </w:r>
      <w:r>
        <w:rPr>
          <w:rFonts w:hint="eastAsia" w:hAnsi="宋体"/>
          <w:u w:val="single"/>
        </w:rPr>
        <w:t xml:space="preserve">                       </w:t>
      </w:r>
    </w:p>
    <w:p>
      <w:pPr>
        <w:pStyle w:val="6"/>
        <w:spacing w:line="400" w:lineRule="exact"/>
        <w:ind w:firstLine="420"/>
        <w:rPr>
          <w:rFonts w:hAnsi="宋体"/>
        </w:rPr>
      </w:pPr>
      <w:r>
        <w:rPr>
          <w:rFonts w:hint="eastAsia" w:hAnsi="宋体"/>
          <w:lang w:eastAsia="zh-CN"/>
        </w:rPr>
        <w:t>报价人</w:t>
      </w:r>
      <w:r>
        <w:rPr>
          <w:rFonts w:hint="eastAsia" w:hAnsi="宋体"/>
        </w:rPr>
        <w:t>盖公章：</w:t>
      </w:r>
      <w:r>
        <w:rPr>
          <w:rFonts w:hint="eastAsia" w:hAnsi="宋体"/>
          <w:u w:val="single"/>
        </w:rPr>
        <w:t xml:space="preserve">                                                </w:t>
      </w:r>
    </w:p>
    <w:p>
      <w:pPr>
        <w:pStyle w:val="6"/>
        <w:spacing w:line="400" w:lineRule="exact"/>
        <w:ind w:firstLine="420" w:firstLineChars="200"/>
        <w:rPr>
          <w:rFonts w:hAnsi="宋体"/>
          <w:u w:val="single"/>
        </w:rPr>
      </w:pPr>
      <w:r>
        <w:rPr>
          <w:rFonts w:hint="eastAsia" w:hAnsi="宋体"/>
        </w:rPr>
        <w:t>报价日期：</w:t>
      </w:r>
      <w:r>
        <w:rPr>
          <w:rFonts w:hint="eastAsia" w:hAnsi="宋体"/>
          <w:u w:val="single"/>
        </w:rPr>
        <w:t xml:space="preserve">                                                    </w:t>
      </w:r>
    </w:p>
    <w:p>
      <w:pPr>
        <w:tabs>
          <w:tab w:val="left" w:pos="210"/>
        </w:tabs>
        <w:spacing w:line="400" w:lineRule="exact"/>
        <w:rPr>
          <w:rFonts w:ascii="宋体" w:hAnsi="宋体"/>
        </w:rPr>
      </w:pPr>
    </w:p>
    <w:p>
      <w:pPr>
        <w:pStyle w:val="6"/>
        <w:jc w:val="center"/>
        <w:rPr>
          <w:b/>
          <w:sz w:val="32"/>
        </w:rPr>
      </w:pPr>
      <w:r>
        <w:rPr>
          <w:rFonts w:hint="eastAsia" w:hAnsi="宋体"/>
          <w:b/>
          <w:bCs/>
        </w:rPr>
        <w:t>注:本表仅供参考，具体由报价人就所报项目内容具体修改填写。</w:t>
      </w:r>
      <w:r>
        <w:br w:type="page"/>
      </w:r>
      <w:r>
        <w:rPr>
          <w:rFonts w:hint="eastAsia"/>
          <w:b/>
          <w:sz w:val="32"/>
          <w:lang w:val="en-US" w:eastAsia="zh-CN"/>
        </w:rPr>
        <w:t>一、</w:t>
      </w:r>
      <w:r>
        <w:rPr>
          <w:rFonts w:hint="eastAsia"/>
          <w:b/>
          <w:sz w:val="32"/>
        </w:rPr>
        <w:t>报价表（格式）</w:t>
      </w:r>
    </w:p>
    <w:p>
      <w:pPr>
        <w:pStyle w:val="6"/>
        <w:rPr>
          <w:b/>
          <w:color w:val="000000"/>
          <w:sz w:val="24"/>
          <w:u w:val="single"/>
        </w:rPr>
      </w:pPr>
    </w:p>
    <w:p>
      <w:pPr>
        <w:pStyle w:val="6"/>
        <w:rPr>
          <w:b/>
          <w:sz w:val="24"/>
          <w:u w:val="single"/>
        </w:rPr>
      </w:pPr>
    </w:p>
    <w:tbl>
      <w:tblPr>
        <w:tblStyle w:val="10"/>
        <w:tblW w:w="98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995"/>
        <w:gridCol w:w="2650"/>
        <w:gridCol w:w="675"/>
        <w:gridCol w:w="851"/>
        <w:gridCol w:w="899"/>
        <w:gridCol w:w="1150"/>
        <w:gridCol w:w="1525"/>
        <w:gridCol w:w="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  <w:jc w:val="center"/>
        </w:trPr>
        <w:tc>
          <w:tcPr>
            <w:tcW w:w="445" w:type="dxa"/>
            <w:vAlign w:val="center"/>
          </w:tcPr>
          <w:p>
            <w:pPr>
              <w:pStyle w:val="6"/>
              <w:jc w:val="center"/>
              <w:rPr>
                <w:spacing w:val="-20"/>
                <w:szCs w:val="24"/>
              </w:rPr>
            </w:pPr>
            <w:r>
              <w:rPr>
                <w:rFonts w:hint="eastAsia"/>
                <w:spacing w:val="-20"/>
                <w:szCs w:val="24"/>
              </w:rPr>
              <w:t>项号</w:t>
            </w:r>
          </w:p>
        </w:tc>
        <w:tc>
          <w:tcPr>
            <w:tcW w:w="995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spacing w:val="-20"/>
                <w:szCs w:val="24"/>
                <w:lang w:eastAsia="zh-CN"/>
              </w:rPr>
            </w:pPr>
            <w:r>
              <w:rPr>
                <w:rFonts w:hint="eastAsia"/>
                <w:spacing w:val="-20"/>
                <w:szCs w:val="24"/>
                <w:lang w:val="en-US" w:eastAsia="zh-CN"/>
              </w:rPr>
              <w:t>设备</w:t>
            </w:r>
            <w:r>
              <w:rPr>
                <w:rFonts w:hint="eastAsia"/>
                <w:spacing w:val="-20"/>
                <w:szCs w:val="24"/>
                <w:lang w:eastAsia="zh-CN"/>
              </w:rPr>
              <w:t>名称</w:t>
            </w:r>
          </w:p>
        </w:tc>
        <w:tc>
          <w:tcPr>
            <w:tcW w:w="2650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spacing w:val="-20"/>
                <w:szCs w:val="24"/>
                <w:lang w:eastAsia="zh-CN"/>
              </w:rPr>
            </w:pPr>
            <w:r>
              <w:rPr>
                <w:rFonts w:hint="eastAsia" w:ascii="宋体" w:hAnsi="Courier New"/>
                <w:spacing w:val="-20"/>
              </w:rPr>
              <w:t>技术参数及性能配置要求</w:t>
            </w:r>
          </w:p>
        </w:tc>
        <w:tc>
          <w:tcPr>
            <w:tcW w:w="675" w:type="dxa"/>
            <w:vAlign w:val="center"/>
          </w:tcPr>
          <w:p>
            <w:pPr>
              <w:pStyle w:val="6"/>
              <w:jc w:val="center"/>
              <w:rPr>
                <w:rFonts w:hint="eastAsia" w:ascii="宋体" w:hAnsi="Courier New"/>
                <w:spacing w:val="-20"/>
              </w:rPr>
            </w:pPr>
            <w:r>
              <w:rPr>
                <w:rFonts w:hint="eastAsia" w:ascii="宋体" w:hAnsi="Courier New"/>
                <w:spacing w:val="-20"/>
              </w:rPr>
              <w:t>单位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Courier New"/>
                <w:spacing w:val="-20"/>
              </w:rPr>
            </w:pPr>
            <w:r>
              <w:rPr>
                <w:rFonts w:hint="eastAsia"/>
                <w:spacing w:val="-20"/>
                <w:szCs w:val="24"/>
              </w:rPr>
              <w:t>数量</w:t>
            </w:r>
            <w:r>
              <w:rPr>
                <w:rFonts w:hint="eastAsia" w:hAnsi="宋体"/>
                <w:spacing w:val="-20"/>
                <w:szCs w:val="24"/>
              </w:rPr>
              <w:t>①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Courier New"/>
                <w:spacing w:val="-20"/>
              </w:rPr>
            </w:pPr>
            <w:r>
              <w:rPr>
                <w:rFonts w:hint="eastAsia"/>
                <w:spacing w:val="-20"/>
                <w:lang w:eastAsia="zh-CN"/>
              </w:rPr>
              <w:t>品牌型号</w:t>
            </w:r>
          </w:p>
        </w:tc>
        <w:tc>
          <w:tcPr>
            <w:tcW w:w="1150" w:type="dxa"/>
            <w:vAlign w:val="center"/>
          </w:tcPr>
          <w:p>
            <w:pPr>
              <w:pStyle w:val="6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单价(元)</w:t>
            </w:r>
          </w:p>
          <w:p>
            <w:pPr>
              <w:pStyle w:val="6"/>
              <w:jc w:val="center"/>
              <w:rPr>
                <w:szCs w:val="24"/>
              </w:rPr>
            </w:pPr>
            <w:r>
              <w:rPr>
                <w:rFonts w:hint="eastAsia" w:hAnsi="宋体"/>
                <w:szCs w:val="24"/>
              </w:rPr>
              <w:t>②</w:t>
            </w:r>
          </w:p>
        </w:tc>
        <w:tc>
          <w:tcPr>
            <w:tcW w:w="1525" w:type="dxa"/>
            <w:vAlign w:val="center"/>
          </w:tcPr>
          <w:p>
            <w:pPr>
              <w:pStyle w:val="6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单项合价（元）</w:t>
            </w:r>
          </w:p>
          <w:p>
            <w:pPr>
              <w:pStyle w:val="6"/>
              <w:jc w:val="center"/>
              <w:rPr>
                <w:szCs w:val="24"/>
              </w:rPr>
            </w:pPr>
            <w:r>
              <w:rPr>
                <w:rFonts w:hint="eastAsia" w:hAnsi="宋体"/>
                <w:szCs w:val="24"/>
              </w:rPr>
              <w:t>③</w:t>
            </w:r>
            <w:r>
              <w:rPr>
                <w:szCs w:val="24"/>
              </w:rPr>
              <w:t>=</w:t>
            </w:r>
            <w:r>
              <w:rPr>
                <w:rFonts w:hint="eastAsia" w:hAnsi="宋体"/>
                <w:szCs w:val="24"/>
              </w:rPr>
              <w:t>①×②</w:t>
            </w:r>
          </w:p>
        </w:tc>
        <w:tc>
          <w:tcPr>
            <w:tcW w:w="701" w:type="dxa"/>
            <w:vAlign w:val="center"/>
          </w:tcPr>
          <w:p>
            <w:pPr>
              <w:pStyle w:val="6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</w:pPr>
          </w:p>
        </w:tc>
        <w:tc>
          <w:tcPr>
            <w:tcW w:w="2650" w:type="dxa"/>
            <w:vAlign w:val="center"/>
          </w:tcPr>
          <w:p>
            <w:pPr>
              <w:jc w:val="center"/>
            </w:pPr>
          </w:p>
        </w:tc>
        <w:tc>
          <w:tcPr>
            <w:tcW w:w="675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</w:tcPr>
          <w:p>
            <w:pPr>
              <w:pStyle w:val="6"/>
              <w:rPr>
                <w:szCs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pStyle w:val="6"/>
              <w:rPr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pStyle w:val="6"/>
              <w:rPr>
                <w:szCs w:val="24"/>
              </w:rPr>
            </w:pPr>
          </w:p>
        </w:tc>
        <w:tc>
          <w:tcPr>
            <w:tcW w:w="1525" w:type="dxa"/>
            <w:vAlign w:val="center"/>
          </w:tcPr>
          <w:p>
            <w:pPr>
              <w:pStyle w:val="6"/>
              <w:rPr>
                <w:szCs w:val="24"/>
              </w:rPr>
            </w:pPr>
          </w:p>
        </w:tc>
        <w:tc>
          <w:tcPr>
            <w:tcW w:w="701" w:type="dxa"/>
            <w:vAlign w:val="center"/>
          </w:tcPr>
          <w:p>
            <w:pPr>
              <w:pStyle w:val="6"/>
              <w:rPr>
                <w:spacing w:val="-6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…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</w:pPr>
          </w:p>
        </w:tc>
        <w:tc>
          <w:tcPr>
            <w:tcW w:w="2650" w:type="dxa"/>
            <w:vAlign w:val="center"/>
          </w:tcPr>
          <w:p>
            <w:pPr>
              <w:jc w:val="center"/>
            </w:pPr>
          </w:p>
        </w:tc>
        <w:tc>
          <w:tcPr>
            <w:tcW w:w="675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</w:tcPr>
          <w:p>
            <w:pPr>
              <w:pStyle w:val="6"/>
              <w:rPr>
                <w:szCs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pStyle w:val="6"/>
              <w:rPr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pStyle w:val="6"/>
              <w:rPr>
                <w:szCs w:val="24"/>
              </w:rPr>
            </w:pPr>
          </w:p>
        </w:tc>
        <w:tc>
          <w:tcPr>
            <w:tcW w:w="1525" w:type="dxa"/>
            <w:vAlign w:val="center"/>
          </w:tcPr>
          <w:p>
            <w:pPr>
              <w:pStyle w:val="6"/>
              <w:rPr>
                <w:szCs w:val="24"/>
              </w:rPr>
            </w:pPr>
          </w:p>
        </w:tc>
        <w:tc>
          <w:tcPr>
            <w:tcW w:w="701" w:type="dxa"/>
            <w:vAlign w:val="center"/>
          </w:tcPr>
          <w:p>
            <w:pPr>
              <w:pStyle w:val="6"/>
              <w:rPr>
                <w:spacing w:val="-6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</w:pPr>
          </w:p>
        </w:tc>
        <w:tc>
          <w:tcPr>
            <w:tcW w:w="2650" w:type="dxa"/>
            <w:vAlign w:val="center"/>
          </w:tcPr>
          <w:p>
            <w:pPr>
              <w:jc w:val="center"/>
            </w:pPr>
          </w:p>
        </w:tc>
        <w:tc>
          <w:tcPr>
            <w:tcW w:w="675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</w:tcPr>
          <w:p>
            <w:pPr>
              <w:pStyle w:val="6"/>
              <w:rPr>
                <w:szCs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pStyle w:val="6"/>
              <w:rPr>
                <w:szCs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pStyle w:val="6"/>
              <w:rPr>
                <w:szCs w:val="24"/>
              </w:rPr>
            </w:pPr>
          </w:p>
        </w:tc>
        <w:tc>
          <w:tcPr>
            <w:tcW w:w="1525" w:type="dxa"/>
            <w:vAlign w:val="center"/>
          </w:tcPr>
          <w:p>
            <w:pPr>
              <w:pStyle w:val="6"/>
              <w:rPr>
                <w:szCs w:val="24"/>
              </w:rPr>
            </w:pPr>
          </w:p>
        </w:tc>
        <w:tc>
          <w:tcPr>
            <w:tcW w:w="701" w:type="dxa"/>
            <w:vAlign w:val="center"/>
          </w:tcPr>
          <w:p>
            <w:pPr>
              <w:pStyle w:val="6"/>
              <w:rPr>
                <w:spacing w:val="-6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91" w:type="dxa"/>
            <w:gridSpan w:val="9"/>
            <w:vAlign w:val="center"/>
          </w:tcPr>
          <w:p>
            <w:pPr>
              <w:pStyle w:val="6"/>
              <w:rPr>
                <w:spacing w:val="-6"/>
                <w:szCs w:val="24"/>
              </w:rPr>
            </w:pPr>
            <w:r>
              <w:rPr>
                <w:rFonts w:hint="eastAsia"/>
                <w:spacing w:val="-6"/>
                <w:szCs w:val="24"/>
              </w:rPr>
              <w:t>总报价（人民币大写）：                                       （￥                       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91" w:type="dxa"/>
            <w:gridSpan w:val="9"/>
            <w:vAlign w:val="center"/>
          </w:tcPr>
          <w:p>
            <w:pPr>
              <w:snapToGrid w:val="0"/>
              <w:rPr>
                <w:spacing w:val="-6"/>
              </w:rPr>
            </w:pPr>
            <w:r>
              <w:rPr>
                <w:rFonts w:hint="eastAsia"/>
                <w:spacing w:val="-6"/>
              </w:rPr>
              <w:t>备注：以上报价包含全部</w:t>
            </w:r>
            <w:r>
              <w:rPr>
                <w:rFonts w:hint="eastAsia"/>
                <w:lang w:val="en-US" w:eastAsia="zh-CN"/>
              </w:rPr>
              <w:t>设备</w:t>
            </w:r>
            <w:r>
              <w:rPr>
                <w:rFonts w:hint="eastAsia"/>
              </w:rPr>
              <w:t>、服务、随配附件、备品备件、工具、辅助材料、货物运抵指定交货地点、安装调试的各种费用、售后服务、税金及其它所有成本费用的总和</w:t>
            </w:r>
            <w:r>
              <w:rPr>
                <w:rFonts w:hint="eastAsia"/>
                <w:spacing w:val="-6"/>
                <w:lang w:val="zh-CN"/>
              </w:rPr>
              <w:t>。</w:t>
            </w:r>
          </w:p>
        </w:tc>
      </w:tr>
    </w:tbl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14"/>
        <w:rPr>
          <w:u w:val="single"/>
        </w:rPr>
      </w:pPr>
      <w:r>
        <w:rPr>
          <w:rFonts w:hint="eastAsia"/>
        </w:rPr>
        <w:t>法定代表人或委托代理人签名：</w:t>
      </w:r>
      <w:r>
        <w:rPr>
          <w:rFonts w:hint="eastAsia"/>
          <w:u w:val="single"/>
        </w:rPr>
        <w:t xml:space="preserve">                       </w:t>
      </w: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  <w:r>
        <w:rPr>
          <w:rFonts w:hint="eastAsia"/>
          <w:lang w:eastAsia="zh-CN"/>
        </w:rPr>
        <w:t>报价人</w:t>
      </w:r>
      <w:r>
        <w:rPr>
          <w:rFonts w:hint="eastAsia"/>
        </w:rPr>
        <w:t>（公章）：</w:t>
      </w:r>
      <w:r>
        <w:rPr>
          <w:rFonts w:hint="eastAsia"/>
          <w:u w:val="single"/>
        </w:rPr>
        <w:t xml:space="preserve">                                </w:t>
      </w:r>
    </w:p>
    <w:p>
      <w:pPr>
        <w:pStyle w:val="6"/>
      </w:pPr>
    </w:p>
    <w:p>
      <w:pPr>
        <w:pStyle w:val="6"/>
        <w:spacing w:line="240" w:lineRule="exact"/>
        <w:rPr>
          <w:rFonts w:ascii="金山简魏碑" w:eastAsia="金山简魏碑"/>
          <w:b/>
          <w:sz w:val="44"/>
        </w:rPr>
      </w:pPr>
    </w:p>
    <w:p>
      <w:pPr>
        <w:pStyle w:val="6"/>
        <w:rPr>
          <w:b/>
        </w:rPr>
      </w:pPr>
    </w:p>
    <w:p>
      <w:pPr>
        <w:tabs>
          <w:tab w:val="left" w:pos="210"/>
        </w:tabs>
        <w:spacing w:line="400" w:lineRule="exact"/>
        <w:rPr>
          <w:rFonts w:ascii="宋体"/>
          <w:color w:val="000000"/>
        </w:rPr>
      </w:pPr>
    </w:p>
    <w:p>
      <w:pPr>
        <w:tabs>
          <w:tab w:val="left" w:pos="210"/>
        </w:tabs>
        <w:spacing w:line="400" w:lineRule="exact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注: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本表仅供参考，具体由报价人就所报项目内容具体修改填写。</w:t>
      </w:r>
    </w:p>
    <w:p>
      <w:pPr>
        <w:tabs>
          <w:tab w:val="left" w:pos="210"/>
        </w:tabs>
        <w:spacing w:line="400" w:lineRule="exact"/>
        <w:rPr>
          <w:rFonts w:ascii="宋体"/>
          <w:color w:val="000000"/>
        </w:rPr>
      </w:pPr>
    </w:p>
    <w:p/>
    <w:p/>
    <w:p/>
    <w:p/>
    <w:p>
      <w:pPr>
        <w:pStyle w:val="2"/>
      </w:pPr>
    </w:p>
    <w:p>
      <w:pPr>
        <w:pStyle w:val="2"/>
      </w:pPr>
    </w:p>
    <w:p/>
    <w:p>
      <w:pPr>
        <w:rPr>
          <w:b/>
          <w:bCs/>
        </w:rPr>
      </w:pPr>
    </w:p>
    <w:p>
      <w:pPr>
        <w:pStyle w:val="2"/>
        <w:rPr>
          <w:b/>
          <w:bCs/>
        </w:rPr>
      </w:pPr>
    </w:p>
    <w:p>
      <w:pPr>
        <w:pStyle w:val="2"/>
        <w:rPr>
          <w:b/>
          <w:bCs/>
        </w:rPr>
      </w:pPr>
    </w:p>
    <w:p>
      <w:pPr>
        <w:pStyle w:val="2"/>
        <w:rPr>
          <w:b/>
          <w:bCs/>
        </w:rPr>
      </w:pPr>
    </w:p>
    <w:p>
      <w:pPr>
        <w:pStyle w:val="2"/>
        <w:rPr>
          <w:b/>
          <w:bCs/>
        </w:rPr>
      </w:pPr>
    </w:p>
    <w:p>
      <w:pPr>
        <w:tabs>
          <w:tab w:val="left" w:pos="210"/>
        </w:tabs>
        <w:spacing w:line="400" w:lineRule="exact"/>
        <w:jc w:val="center"/>
        <w:rPr>
          <w:rFonts w:hint="eastAsia"/>
          <w:b/>
          <w:bCs/>
          <w:sz w:val="30"/>
        </w:rPr>
      </w:pPr>
      <w:r>
        <w:rPr>
          <w:rFonts w:hint="eastAsia"/>
          <w:b/>
          <w:bCs/>
          <w:sz w:val="30"/>
          <w:lang w:val="en-US" w:eastAsia="zh-CN"/>
        </w:rPr>
        <w:t>二、</w:t>
      </w:r>
      <w:r>
        <w:rPr>
          <w:rFonts w:hint="eastAsia"/>
          <w:b/>
          <w:bCs/>
          <w:sz w:val="30"/>
        </w:rPr>
        <w:t>法定代表人授权委托书（格式）</w:t>
      </w:r>
    </w:p>
    <w:p>
      <w:pPr>
        <w:pStyle w:val="6"/>
        <w:spacing w:line="500" w:lineRule="exact"/>
        <w:ind w:firstLine="420" w:firstLineChars="200"/>
        <w:rPr>
          <w:rFonts w:hint="eastAsia" w:ascii="Times New Roman" w:hAnsi="Times New Roman"/>
          <w:u w:val="single"/>
        </w:rPr>
      </w:pPr>
    </w:p>
    <w:p>
      <w:pPr>
        <w:pStyle w:val="6"/>
        <w:spacing w:line="500" w:lineRule="exact"/>
        <w:rPr>
          <w:rFonts w:hint="eastAsia" w:ascii="Times New Roman" w:hAnsi="Times New Roman"/>
          <w:b/>
          <w:bCs/>
          <w:sz w:val="36"/>
        </w:rPr>
      </w:pPr>
      <w:r>
        <w:rPr>
          <w:rFonts w:hint="eastAsia" w:ascii="Times New Roman" w:hAnsi="Times New Roman"/>
          <w:u w:val="single"/>
          <w:lang w:eastAsia="zh-CN"/>
        </w:rPr>
        <w:t>苏世建设管理集团有限公司</w:t>
      </w:r>
      <w:r>
        <w:rPr>
          <w:rFonts w:hint="eastAsia" w:ascii="Times New Roman" w:hAnsi="Times New Roman"/>
        </w:rPr>
        <w:t>：</w:t>
      </w:r>
    </w:p>
    <w:p>
      <w:pPr>
        <w:pStyle w:val="6"/>
        <w:spacing w:line="500" w:lineRule="exact"/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本授权书声明：注册于</w:t>
      </w:r>
      <w:r>
        <w:rPr>
          <w:rFonts w:hint="eastAsia" w:ascii="Times New Roman" w:hAnsi="Times New Roman"/>
          <w:u w:val="single"/>
        </w:rPr>
        <w:t xml:space="preserve">  （委托单位全称） </w:t>
      </w:r>
      <w:r>
        <w:rPr>
          <w:rFonts w:hint="eastAsia" w:ascii="Times New Roman" w:hAnsi="Times New Roman"/>
        </w:rPr>
        <w:t>的法定代表人代表本公司授权</w:t>
      </w:r>
      <w:r>
        <w:rPr>
          <w:rFonts w:hint="eastAsia" w:ascii="Times New Roman" w:hAnsi="Times New Roman"/>
          <w:u w:val="single"/>
        </w:rPr>
        <w:t>（姓名和职务）</w:t>
      </w:r>
      <w:r>
        <w:rPr>
          <w:rFonts w:hint="eastAsia" w:ascii="Times New Roman" w:hAnsi="Times New Roman"/>
        </w:rPr>
        <w:t>为本公司合法代理人，就贵方组织的有关</w:t>
      </w:r>
      <w:r>
        <w:rPr>
          <w:rFonts w:hint="eastAsia" w:ascii="Times New Roman" w:hAnsi="Times New Roman"/>
          <w:u w:val="single"/>
        </w:rPr>
        <w:t>（询价项目名称）</w:t>
      </w:r>
      <w:r>
        <w:rPr>
          <w:rFonts w:hint="eastAsia" w:ascii="Times New Roman" w:hAnsi="Times New Roman"/>
        </w:rPr>
        <w:t>（项目编号：</w:t>
      </w:r>
      <w:r>
        <w:rPr>
          <w:rFonts w:hint="eastAsia" w:ascii="Times New Roman" w:hAnsi="Times New Roman"/>
          <w:u w:val="single"/>
        </w:rPr>
        <w:t xml:space="preserve">                  </w:t>
      </w:r>
      <w:r>
        <w:rPr>
          <w:rFonts w:hint="eastAsia" w:ascii="Times New Roman" w:hAnsi="Times New Roman"/>
        </w:rPr>
        <w:t>）的报价及合同签订、执行、完成，以本单位名义处理一切与之有关的事务。</w:t>
      </w:r>
    </w:p>
    <w:p>
      <w:pPr>
        <w:pStyle w:val="6"/>
        <w:spacing w:line="500" w:lineRule="exact"/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本授权书于</w:t>
      </w:r>
      <w:r>
        <w:rPr>
          <w:rFonts w:hint="eastAsia"/>
          <w:spacing w:val="10"/>
          <w:sz w:val="24"/>
          <w:u w:val="single"/>
        </w:rPr>
        <w:t xml:space="preserve">     </w:t>
      </w:r>
      <w:r>
        <w:rPr>
          <w:rFonts w:hint="eastAsia" w:ascii="Times New Roman" w:hAnsi="Times New Roman"/>
        </w:rPr>
        <w:t>年</w:t>
      </w:r>
      <w:r>
        <w:rPr>
          <w:rFonts w:hint="eastAsia"/>
          <w:spacing w:val="10"/>
          <w:sz w:val="24"/>
          <w:u w:val="single"/>
        </w:rPr>
        <w:t xml:space="preserve"> </w:t>
      </w:r>
      <w:r>
        <w:rPr>
          <w:rFonts w:hint="eastAsia"/>
          <w:spacing w:val="10"/>
          <w:sz w:val="24"/>
          <w:u w:val="single"/>
          <w:lang w:val="en-US" w:eastAsia="zh-CN"/>
        </w:rPr>
        <w:t xml:space="preserve"> </w:t>
      </w:r>
      <w:r>
        <w:rPr>
          <w:rFonts w:hint="eastAsia"/>
          <w:spacing w:val="10"/>
          <w:sz w:val="24"/>
          <w:u w:val="single"/>
        </w:rPr>
        <w:t xml:space="preserve"> </w:t>
      </w:r>
      <w:r>
        <w:rPr>
          <w:rFonts w:hint="eastAsia" w:ascii="Times New Roman" w:hAnsi="Times New Roman"/>
        </w:rPr>
        <w:t>月</w:t>
      </w:r>
      <w:r>
        <w:rPr>
          <w:rFonts w:hint="eastAsia"/>
          <w:spacing w:val="10"/>
          <w:sz w:val="24"/>
          <w:u w:val="single"/>
        </w:rPr>
        <w:t xml:space="preserve"> </w:t>
      </w:r>
      <w:r>
        <w:rPr>
          <w:rFonts w:hint="eastAsia"/>
          <w:spacing w:val="10"/>
          <w:sz w:val="24"/>
          <w:u w:val="single"/>
          <w:lang w:val="en-US" w:eastAsia="zh-CN"/>
        </w:rPr>
        <w:t xml:space="preserve"> </w:t>
      </w:r>
      <w:r>
        <w:rPr>
          <w:rFonts w:hint="eastAsia"/>
          <w:spacing w:val="10"/>
          <w:sz w:val="24"/>
          <w:u w:val="single"/>
        </w:rPr>
        <w:t xml:space="preserve"> </w:t>
      </w:r>
      <w:r>
        <w:rPr>
          <w:rFonts w:hint="eastAsia" w:ascii="Times New Roman" w:hAnsi="Times New Roman"/>
        </w:rPr>
        <w:t>日签字生效，特此声明。</w:t>
      </w:r>
    </w:p>
    <w:p>
      <w:pPr>
        <w:pStyle w:val="6"/>
        <w:spacing w:line="500" w:lineRule="exact"/>
        <w:ind w:firstLine="420"/>
        <w:rPr>
          <w:rFonts w:hint="eastAsia" w:ascii="Times New Roman" w:hAnsi="Times New Roman"/>
        </w:rPr>
      </w:pPr>
    </w:p>
    <w:p>
      <w:pPr>
        <w:pStyle w:val="6"/>
        <w:spacing w:line="500" w:lineRule="exact"/>
        <w:ind w:firstLine="42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委托单位：    （公章）                  法定代表人：（签名或盖章）</w:t>
      </w:r>
    </w:p>
    <w:p>
      <w:pPr>
        <w:pStyle w:val="6"/>
        <w:spacing w:line="500" w:lineRule="exact"/>
        <w:ind w:firstLine="420" w:firstLineChars="200"/>
        <w:rPr>
          <w:rFonts w:hint="eastAsia" w:ascii="Times New Roman" w:hAnsi="Times New Roman"/>
        </w:rPr>
      </w:pPr>
    </w:p>
    <w:p>
      <w:pPr>
        <w:pStyle w:val="6"/>
        <w:spacing w:line="500" w:lineRule="exact"/>
        <w:ind w:firstLine="42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签发日期：</w:t>
      </w:r>
      <w:r>
        <w:rPr>
          <w:rFonts w:hint="eastAsia" w:ascii="Times New Roman" w:hAnsi="Times New Roman"/>
          <w:u w:val="single"/>
        </w:rPr>
        <w:t xml:space="preserve">     </w:t>
      </w:r>
      <w:r>
        <w:rPr>
          <w:rFonts w:hint="eastAsia" w:ascii="Times New Roman" w:hAnsi="Times New Roman"/>
        </w:rPr>
        <w:t>年</w:t>
      </w:r>
      <w:r>
        <w:rPr>
          <w:rFonts w:hint="eastAsia" w:ascii="Times New Roman" w:hAnsi="Times New Roman"/>
          <w:u w:val="single"/>
        </w:rPr>
        <w:t xml:space="preserve">    </w:t>
      </w:r>
      <w:r>
        <w:rPr>
          <w:rFonts w:hint="eastAsia" w:ascii="Times New Roman" w:hAnsi="Times New Roman"/>
        </w:rPr>
        <w:t>月</w:t>
      </w:r>
      <w:r>
        <w:rPr>
          <w:rFonts w:hint="eastAsia" w:ascii="Times New Roman" w:hAnsi="Times New Roman"/>
          <w:u w:val="single"/>
        </w:rPr>
        <w:t xml:space="preserve">    </w:t>
      </w:r>
      <w:r>
        <w:rPr>
          <w:rFonts w:hint="eastAsia" w:ascii="Times New Roman" w:hAnsi="Times New Roman"/>
        </w:rPr>
        <w:t>日</w:t>
      </w:r>
    </w:p>
    <w:p>
      <w:pPr>
        <w:pStyle w:val="6"/>
        <w:spacing w:line="500" w:lineRule="exac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>
      <w:pPr>
        <w:pStyle w:val="6"/>
        <w:spacing w:line="500" w:lineRule="exact"/>
        <w:ind w:firstLine="42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附： 委托代理人工作单位：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职务：</w:t>
      </w:r>
    </w:p>
    <w:p>
      <w:pPr>
        <w:pStyle w:val="6"/>
        <w:spacing w:line="500" w:lineRule="exact"/>
        <w:ind w:firstLine="42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 xml:space="preserve">       身份证号码：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性别：       年龄：</w:t>
      </w:r>
    </w:p>
    <w:p>
      <w:pPr>
        <w:pStyle w:val="6"/>
        <w:spacing w:line="500" w:lineRule="exact"/>
        <w:ind w:firstLine="42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 xml:space="preserve">  </w:t>
      </w:r>
    </w:p>
    <w:p>
      <w:pPr>
        <w:pStyle w:val="6"/>
        <w:spacing w:line="500" w:lineRule="exact"/>
        <w:ind w:firstLine="420" w:firstLineChars="200"/>
        <w:rPr>
          <w:rFonts w:hint="eastAsia" w:ascii="Times New Roman" w:hAnsi="Times New Roman"/>
        </w:rPr>
      </w:pPr>
    </w:p>
    <w:p>
      <w:pPr>
        <w:pStyle w:val="6"/>
        <w:spacing w:line="500" w:lineRule="exact"/>
        <w:ind w:firstLine="42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说明：</w:t>
      </w:r>
    </w:p>
    <w:p>
      <w:pPr>
        <w:pStyle w:val="6"/>
        <w:spacing w:line="500" w:lineRule="exact"/>
        <w:ind w:firstLine="42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1．委托书内容填写要明确，文字要工整清楚，涂改无效。</w:t>
      </w:r>
    </w:p>
    <w:p>
      <w:pPr>
        <w:pStyle w:val="6"/>
        <w:spacing w:line="500" w:lineRule="exact"/>
        <w:ind w:firstLine="42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2．委托书不得转借、转让，不得买卖。</w:t>
      </w:r>
    </w:p>
    <w:p>
      <w:pPr>
        <w:spacing w:line="520" w:lineRule="exact"/>
        <w:ind w:firstLine="420" w:firstLineChars="200"/>
        <w:rPr>
          <w:rFonts w:hint="eastAsia"/>
        </w:rPr>
      </w:pPr>
      <w:r>
        <w:rPr>
          <w:rFonts w:hint="eastAsia"/>
        </w:rPr>
        <w:t>3．委托代理人根据受权范围，以委托单位的名义签订合同，并将此委托书提交给对方作为合同附件。</w:t>
      </w:r>
    </w:p>
    <w:p>
      <w:pPr>
        <w:spacing w:line="520" w:lineRule="exact"/>
        <w:ind w:firstLine="890" w:firstLineChars="424"/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br w:type="page"/>
      </w:r>
    </w:p>
    <w:p>
      <w:pPr>
        <w:tabs>
          <w:tab w:val="left" w:pos="210"/>
        </w:tabs>
        <w:spacing w:line="400" w:lineRule="exact"/>
        <w:jc w:val="center"/>
        <w:rPr>
          <w:rFonts w:hint="eastAsia" w:ascii="Times New Roman" w:hAnsi="Times New Roman" w:cs="Times New Roman"/>
          <w:b/>
          <w:bCs/>
          <w:sz w:val="3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0"/>
          <w:lang w:val="en-US" w:eastAsia="zh-CN"/>
        </w:rPr>
        <w:t>三、</w:t>
      </w:r>
      <w:r>
        <w:rPr>
          <w:rFonts w:hint="eastAsia" w:cs="Times New Roman"/>
          <w:b/>
          <w:bCs/>
          <w:sz w:val="30"/>
          <w:lang w:val="en-US" w:eastAsia="zh-CN"/>
        </w:rPr>
        <w:t>报价人</w:t>
      </w:r>
      <w:r>
        <w:rPr>
          <w:rFonts w:hint="eastAsia" w:ascii="Times New Roman" w:hAnsi="Times New Roman" w:cs="Times New Roman"/>
          <w:b/>
          <w:bCs/>
          <w:sz w:val="30"/>
          <w:lang w:val="en-US" w:eastAsia="zh-CN"/>
        </w:rPr>
        <w:t>营业执照副本复印件</w:t>
      </w:r>
    </w:p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531E6B"/>
    <w:multiLevelType w:val="singleLevel"/>
    <w:tmpl w:val="86531E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0747792"/>
    <w:multiLevelType w:val="singleLevel"/>
    <w:tmpl w:val="907477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971CF1C9"/>
    <w:multiLevelType w:val="singleLevel"/>
    <w:tmpl w:val="971CF1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C7A6F90"/>
    <w:multiLevelType w:val="singleLevel"/>
    <w:tmpl w:val="9C7A6F9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A21778CF"/>
    <w:multiLevelType w:val="singleLevel"/>
    <w:tmpl w:val="A21778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B433EA6F"/>
    <w:multiLevelType w:val="singleLevel"/>
    <w:tmpl w:val="B433EA6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BD742B03"/>
    <w:multiLevelType w:val="singleLevel"/>
    <w:tmpl w:val="BD742B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C4EFD3B3"/>
    <w:multiLevelType w:val="singleLevel"/>
    <w:tmpl w:val="C4EFD3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C51D7D8B"/>
    <w:multiLevelType w:val="singleLevel"/>
    <w:tmpl w:val="C51D7D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CF4E252B"/>
    <w:multiLevelType w:val="singleLevel"/>
    <w:tmpl w:val="CF4E25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D3148369"/>
    <w:multiLevelType w:val="singleLevel"/>
    <w:tmpl w:val="D31483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DA4BD831"/>
    <w:multiLevelType w:val="singleLevel"/>
    <w:tmpl w:val="DA4BD8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E8928526"/>
    <w:multiLevelType w:val="singleLevel"/>
    <w:tmpl w:val="E892852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ED33EA2B"/>
    <w:multiLevelType w:val="singleLevel"/>
    <w:tmpl w:val="ED33EA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ED712CDD"/>
    <w:multiLevelType w:val="singleLevel"/>
    <w:tmpl w:val="ED712C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EFBB0937"/>
    <w:multiLevelType w:val="singleLevel"/>
    <w:tmpl w:val="EFBB093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F7588206"/>
    <w:multiLevelType w:val="singleLevel"/>
    <w:tmpl w:val="F758820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F9C7469D"/>
    <w:multiLevelType w:val="singleLevel"/>
    <w:tmpl w:val="F9C746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FAA209BA"/>
    <w:multiLevelType w:val="singleLevel"/>
    <w:tmpl w:val="FAA209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0000000E"/>
    <w:multiLevelType w:val="multilevel"/>
    <w:tmpl w:val="0000000E"/>
    <w:lvl w:ilvl="0" w:tentative="0">
      <w:start w:val="1"/>
      <w:numFmt w:val="decimal"/>
      <w:lvlText w:val="（%1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20">
    <w:nsid w:val="0000000F"/>
    <w:multiLevelType w:val="multilevel"/>
    <w:tmpl w:val="0000000F"/>
    <w:lvl w:ilvl="0" w:tentative="0">
      <w:start w:val="1"/>
      <w:numFmt w:val="decimal"/>
      <w:lvlText w:val="（%1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21">
    <w:nsid w:val="1B7EB4C9"/>
    <w:multiLevelType w:val="singleLevel"/>
    <w:tmpl w:val="1B7EB4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26D76215"/>
    <w:multiLevelType w:val="singleLevel"/>
    <w:tmpl w:val="26D762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3F8033E2"/>
    <w:multiLevelType w:val="singleLevel"/>
    <w:tmpl w:val="3F8033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>
    <w:nsid w:val="409F6A66"/>
    <w:multiLevelType w:val="singleLevel"/>
    <w:tmpl w:val="409F6A6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>
    <w:nsid w:val="55BB5A3B"/>
    <w:multiLevelType w:val="singleLevel"/>
    <w:tmpl w:val="55BB5A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>
    <w:nsid w:val="56543C3F"/>
    <w:multiLevelType w:val="singleLevel"/>
    <w:tmpl w:val="56543C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7">
    <w:nsid w:val="585A7FBF"/>
    <w:multiLevelType w:val="singleLevel"/>
    <w:tmpl w:val="585A7F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8">
    <w:nsid w:val="5A3018A2"/>
    <w:multiLevelType w:val="singleLevel"/>
    <w:tmpl w:val="5A3018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9">
    <w:nsid w:val="62BD8237"/>
    <w:multiLevelType w:val="singleLevel"/>
    <w:tmpl w:val="62BD823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0">
    <w:nsid w:val="653984F1"/>
    <w:multiLevelType w:val="singleLevel"/>
    <w:tmpl w:val="653984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1">
    <w:nsid w:val="6D1F871E"/>
    <w:multiLevelType w:val="singleLevel"/>
    <w:tmpl w:val="6D1F87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2">
    <w:nsid w:val="6F4BB4BD"/>
    <w:multiLevelType w:val="singleLevel"/>
    <w:tmpl w:val="6F4BB4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3"/>
  </w:num>
  <w:num w:numId="2">
    <w:abstractNumId w:val="26"/>
  </w:num>
  <w:num w:numId="3">
    <w:abstractNumId w:val="32"/>
  </w:num>
  <w:num w:numId="4">
    <w:abstractNumId w:val="16"/>
  </w:num>
  <w:num w:numId="5">
    <w:abstractNumId w:val="10"/>
  </w:num>
  <w:num w:numId="6">
    <w:abstractNumId w:val="25"/>
  </w:num>
  <w:num w:numId="7">
    <w:abstractNumId w:val="27"/>
  </w:num>
  <w:num w:numId="8">
    <w:abstractNumId w:val="31"/>
  </w:num>
  <w:num w:numId="9">
    <w:abstractNumId w:val="5"/>
  </w:num>
  <w:num w:numId="10">
    <w:abstractNumId w:val="8"/>
  </w:num>
  <w:num w:numId="11">
    <w:abstractNumId w:val="4"/>
  </w:num>
  <w:num w:numId="12">
    <w:abstractNumId w:val="15"/>
  </w:num>
  <w:num w:numId="13">
    <w:abstractNumId w:val="7"/>
  </w:num>
  <w:num w:numId="14">
    <w:abstractNumId w:val="11"/>
  </w:num>
  <w:num w:numId="15">
    <w:abstractNumId w:val="3"/>
  </w:num>
  <w:num w:numId="16">
    <w:abstractNumId w:val="24"/>
  </w:num>
  <w:num w:numId="17">
    <w:abstractNumId w:val="29"/>
  </w:num>
  <w:num w:numId="18">
    <w:abstractNumId w:val="21"/>
  </w:num>
  <w:num w:numId="19">
    <w:abstractNumId w:val="0"/>
  </w:num>
  <w:num w:numId="20">
    <w:abstractNumId w:val="14"/>
  </w:num>
  <w:num w:numId="21">
    <w:abstractNumId w:val="6"/>
  </w:num>
  <w:num w:numId="22">
    <w:abstractNumId w:val="28"/>
  </w:num>
  <w:num w:numId="23">
    <w:abstractNumId w:val="18"/>
  </w:num>
  <w:num w:numId="24">
    <w:abstractNumId w:val="30"/>
  </w:num>
  <w:num w:numId="25">
    <w:abstractNumId w:val="1"/>
  </w:num>
  <w:num w:numId="26">
    <w:abstractNumId w:val="2"/>
  </w:num>
  <w:num w:numId="27">
    <w:abstractNumId w:val="12"/>
  </w:num>
  <w:num w:numId="28">
    <w:abstractNumId w:val="9"/>
  </w:num>
  <w:num w:numId="29">
    <w:abstractNumId w:val="17"/>
  </w:num>
  <w:num w:numId="30">
    <w:abstractNumId w:val="22"/>
  </w:num>
  <w:num w:numId="31">
    <w:abstractNumId w:val="13"/>
  </w:num>
  <w:num w:numId="32">
    <w:abstractNumId w:val="2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ZjJjNmE0ODY3YjIyYjI4ZjY2MTdjMGE5YTVmODgifQ=="/>
  </w:docVars>
  <w:rsids>
    <w:rsidRoot w:val="006A388E"/>
    <w:rsid w:val="000075A8"/>
    <w:rsid w:val="000A1245"/>
    <w:rsid w:val="00245503"/>
    <w:rsid w:val="003A01E9"/>
    <w:rsid w:val="00475DF3"/>
    <w:rsid w:val="00690366"/>
    <w:rsid w:val="00693E88"/>
    <w:rsid w:val="006A388E"/>
    <w:rsid w:val="006F14E1"/>
    <w:rsid w:val="007360F8"/>
    <w:rsid w:val="007F690E"/>
    <w:rsid w:val="008867CD"/>
    <w:rsid w:val="009247AF"/>
    <w:rsid w:val="0097402B"/>
    <w:rsid w:val="00BE2DC7"/>
    <w:rsid w:val="00D14A91"/>
    <w:rsid w:val="00DB304E"/>
    <w:rsid w:val="048738F6"/>
    <w:rsid w:val="04C838E3"/>
    <w:rsid w:val="094155DF"/>
    <w:rsid w:val="09564885"/>
    <w:rsid w:val="09EB4AEB"/>
    <w:rsid w:val="0B6F60F8"/>
    <w:rsid w:val="0BE56BE3"/>
    <w:rsid w:val="0E9370A4"/>
    <w:rsid w:val="109D619F"/>
    <w:rsid w:val="113726C0"/>
    <w:rsid w:val="11C074FA"/>
    <w:rsid w:val="132D1E41"/>
    <w:rsid w:val="165F7036"/>
    <w:rsid w:val="16CA57F5"/>
    <w:rsid w:val="180303F0"/>
    <w:rsid w:val="1B6F4B43"/>
    <w:rsid w:val="1C467683"/>
    <w:rsid w:val="1E776CCB"/>
    <w:rsid w:val="1EE501CC"/>
    <w:rsid w:val="1F4E0411"/>
    <w:rsid w:val="21470119"/>
    <w:rsid w:val="2350386D"/>
    <w:rsid w:val="26277CF6"/>
    <w:rsid w:val="2AC87340"/>
    <w:rsid w:val="2B987724"/>
    <w:rsid w:val="2CB05777"/>
    <w:rsid w:val="2D0D675B"/>
    <w:rsid w:val="2DD06670"/>
    <w:rsid w:val="2E9C3FCD"/>
    <w:rsid w:val="31AE5F62"/>
    <w:rsid w:val="3396296F"/>
    <w:rsid w:val="33FC05F9"/>
    <w:rsid w:val="346913AC"/>
    <w:rsid w:val="3480083F"/>
    <w:rsid w:val="348447E5"/>
    <w:rsid w:val="35C3093C"/>
    <w:rsid w:val="369C33FE"/>
    <w:rsid w:val="39503D32"/>
    <w:rsid w:val="3A965516"/>
    <w:rsid w:val="3CAC47F9"/>
    <w:rsid w:val="3E6A3F57"/>
    <w:rsid w:val="40C74F48"/>
    <w:rsid w:val="41C2662E"/>
    <w:rsid w:val="427A3656"/>
    <w:rsid w:val="429F2355"/>
    <w:rsid w:val="43D10119"/>
    <w:rsid w:val="45D54A6C"/>
    <w:rsid w:val="470B6133"/>
    <w:rsid w:val="48FF4D65"/>
    <w:rsid w:val="494510BF"/>
    <w:rsid w:val="4B52157A"/>
    <w:rsid w:val="4BAA0A93"/>
    <w:rsid w:val="4E595F59"/>
    <w:rsid w:val="4F6216D0"/>
    <w:rsid w:val="52DC0E60"/>
    <w:rsid w:val="54DD064C"/>
    <w:rsid w:val="587F4227"/>
    <w:rsid w:val="58FA7FA3"/>
    <w:rsid w:val="5BEB4351"/>
    <w:rsid w:val="5C2A72CB"/>
    <w:rsid w:val="5D99219D"/>
    <w:rsid w:val="5EF43461"/>
    <w:rsid w:val="5F8464D9"/>
    <w:rsid w:val="60DE2F8E"/>
    <w:rsid w:val="611F6B48"/>
    <w:rsid w:val="62714519"/>
    <w:rsid w:val="62DA2F36"/>
    <w:rsid w:val="63506A6F"/>
    <w:rsid w:val="64063552"/>
    <w:rsid w:val="67AA2617"/>
    <w:rsid w:val="68E07FB4"/>
    <w:rsid w:val="690F0EC7"/>
    <w:rsid w:val="6A8F607F"/>
    <w:rsid w:val="6ACD1DB7"/>
    <w:rsid w:val="6F843DCF"/>
    <w:rsid w:val="703810EE"/>
    <w:rsid w:val="703E317F"/>
    <w:rsid w:val="70605FC8"/>
    <w:rsid w:val="70926B0B"/>
    <w:rsid w:val="72555AA9"/>
    <w:rsid w:val="729E2158"/>
    <w:rsid w:val="77623169"/>
    <w:rsid w:val="779F76DD"/>
    <w:rsid w:val="78A30161"/>
    <w:rsid w:val="78E658B1"/>
    <w:rsid w:val="7B3B1101"/>
    <w:rsid w:val="7D7652A4"/>
    <w:rsid w:val="7F93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5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6">
    <w:name w:val="Plain Text"/>
    <w:basedOn w:val="1"/>
    <w:link w:val="13"/>
    <w:qFormat/>
    <w:uiPriority w:val="0"/>
    <w:rPr>
      <w:rFonts w:ascii="宋体" w:hAnsi="Courier New" w:cstheme="minorBidi"/>
      <w:szCs w:val="22"/>
    </w:rPr>
  </w:style>
  <w:style w:type="paragraph" w:styleId="7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5"/>
    <w:qFormat/>
    <w:uiPriority w:val="0"/>
    <w:pPr>
      <w:spacing w:after="120"/>
      <w:ind w:left="420" w:leftChars="200" w:firstLine="420" w:firstLineChars="200"/>
    </w:pPr>
    <w:rPr>
      <w:rFonts w:ascii="Times New Roman" w:eastAsia="宋体"/>
      <w:sz w:val="21"/>
      <w:szCs w:val="24"/>
    </w:rPr>
  </w:style>
  <w:style w:type="character" w:customStyle="1" w:styleId="12">
    <w:name w:val="纯文本 Char"/>
    <w:link w:val="6"/>
    <w:qFormat/>
    <w:uiPriority w:val="0"/>
    <w:rPr>
      <w:rFonts w:ascii="宋体" w:hAnsi="Courier New" w:eastAsia="宋体"/>
    </w:rPr>
  </w:style>
  <w:style w:type="character" w:customStyle="1" w:styleId="13">
    <w:name w:val="纯文本 Char1"/>
    <w:basedOn w:val="11"/>
    <w:link w:val="6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14">
    <w:name w:val="_Style 9"/>
    <w:basedOn w:val="1"/>
    <w:next w:val="6"/>
    <w:qFormat/>
    <w:uiPriority w:val="0"/>
    <w:rPr>
      <w:rFonts w:ascii="宋体" w:hAnsi="Courier New"/>
      <w:szCs w:val="20"/>
    </w:rPr>
  </w:style>
  <w:style w:type="character" w:customStyle="1" w:styleId="15">
    <w:name w:val="页眉 Char"/>
    <w:basedOn w:val="11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1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标题 1 Char"/>
    <w:basedOn w:val="11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font11"/>
    <w:basedOn w:val="11"/>
    <w:qFormat/>
    <w:uiPriority w:val="0"/>
    <w:rPr>
      <w:rFonts w:hint="eastAsia" w:ascii="微软雅黑 Light" w:hAnsi="微软雅黑 Light" w:eastAsia="微软雅黑 Light" w:cs="微软雅黑 Light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2078</Words>
  <Characters>2386</Characters>
  <Lines>29</Lines>
  <Paragraphs>8</Paragraphs>
  <TotalTime>2</TotalTime>
  <ScaleCrop>false</ScaleCrop>
  <LinksUpToDate>false</LinksUpToDate>
  <CharactersWithSpaces>3158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2019-05-13T08:56:00Z</dcterms:created>
  <dc:creator>NTKO</dc:creator>
  <cp:lastModifiedBy>ZZ</cp:lastModifiedBy>
  <cp:lastPrinted>2019-10-16T07:59:00Z</cp:lastPrinted>
  <dcterms:modified xsi:type="dcterms:W3CDTF">2022-11-18T07:59:17Z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04285DB7E3E74E20B1D0065C61CD768C</vt:lpwstr>
  </property>
</Properties>
</file>